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031027F2">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2025年度精密互感器</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bookmarkStart w:id="21" w:name="_GoBack"/>
      <w:bookmarkEnd w:id="21"/>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469645C1">
      <w:pPr>
        <w:jc w:val="center"/>
        <w:rPr>
          <w:rFonts w:hint="eastAsia" w:ascii="宋体" w:hAnsi="宋体"/>
          <w:b/>
          <w:sz w:val="48"/>
          <w:szCs w:val="48"/>
        </w:rPr>
      </w:pPr>
    </w:p>
    <w:p w14:paraId="67E35557">
      <w:pPr>
        <w:jc w:val="center"/>
        <w:rPr>
          <w:rFonts w:hint="eastAsia" w:ascii="宋体" w:hAnsi="宋体" w:cs="宋体"/>
          <w:sz w:val="22"/>
          <w:szCs w:val="22"/>
        </w:rPr>
      </w:pPr>
    </w:p>
    <w:p w14:paraId="174DE438">
      <w:pPr>
        <w:spacing w:line="360" w:lineRule="auto"/>
        <w:jc w:val="center"/>
        <w:rPr>
          <w:rFonts w:ascii="方正小标宋简体" w:eastAsia="方正小标宋简体"/>
          <w:sz w:val="72"/>
          <w:szCs w:val="72"/>
        </w:rPr>
      </w:pPr>
    </w:p>
    <w:p w14:paraId="2238E441">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7B995605">
      <w:pPr>
        <w:pStyle w:val="56"/>
        <w:spacing w:before="560" w:after="560" w:line="240" w:lineRule="auto"/>
        <w:rPr>
          <w:rFonts w:hint="eastAsia"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2025年02月</w:t>
      </w:r>
    </w:p>
    <w:p w14:paraId="4485F7CD">
      <w:pPr>
        <w:pStyle w:val="223"/>
        <w:jc w:val="center"/>
        <w:rPr>
          <w:rFonts w:hint="eastAsia"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62804238">
          <w:pPr>
            <w:widowControl/>
            <w:jc w:val="center"/>
          </w:pPr>
        </w:p>
        <w:p w14:paraId="4C43CBBA">
          <w:pPr>
            <w:pStyle w:val="28"/>
            <w:tabs>
              <w:tab w:val="right" w:leader="dot" w:pos="8296"/>
            </w:tabs>
            <w:ind w:firstLine="420"/>
            <w:rPr>
              <w:rFonts w:hint="eastAsia" w:asciiTheme="minorHAnsi" w:hAnsiTheme="minorHAnsi" w:eastAsiaTheme="minorEastAsia" w:cstheme="minorBidi"/>
              <w:b w:val="0"/>
              <w:bCs w:val="0"/>
              <w:caps w:val="0"/>
              <w:sz w:val="22"/>
              <w:szCs w:val="24"/>
              <w14:ligatures w14:val="standardContextual"/>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"_Toc192505524" </w:instrText>
          </w:r>
          <w:r>
            <w:fldChar w:fldCharType="separate"/>
          </w:r>
          <w:r>
            <w:rPr>
              <w:rStyle w:val="44"/>
              <w:rFonts w:hint="eastAsia"/>
            </w:rPr>
            <w:t>1　范围</w:t>
          </w:r>
          <w:r>
            <w:rPr>
              <w:rFonts w:hint="eastAsia"/>
            </w:rPr>
            <w:tab/>
          </w:r>
          <w:r>
            <w:rPr>
              <w:rFonts w:hint="eastAsia"/>
            </w:rPr>
            <w:fldChar w:fldCharType="begin"/>
          </w:r>
          <w:r>
            <w:rPr>
              <w:rFonts w:hint="eastAsia"/>
            </w:rPr>
            <w:instrText xml:space="preserve"> </w:instrText>
          </w:r>
          <w:r>
            <w:instrText xml:space="preserve">PAGEREF _Toc192505524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5FEB776F">
          <w:pPr>
            <w:pStyle w:val="28"/>
            <w:tabs>
              <w:tab w:val="right" w:leader="dot" w:pos="8296"/>
            </w:tabs>
            <w:ind w:firstLine="402"/>
            <w:rPr>
              <w:rFonts w:hint="eastAsia" w:asciiTheme="minorHAnsi" w:hAnsiTheme="minorHAnsi" w:eastAsiaTheme="minorEastAsia" w:cstheme="minorBidi"/>
              <w:b w:val="0"/>
              <w:bCs w:val="0"/>
              <w:caps w:val="0"/>
              <w:sz w:val="22"/>
              <w:szCs w:val="24"/>
              <w14:ligatures w14:val="standardContextual"/>
            </w:rPr>
          </w:pPr>
          <w:r>
            <w:fldChar w:fldCharType="begin"/>
          </w:r>
          <w:r>
            <w:instrText xml:space="preserve"> HYPERLINK \l "_Toc192505525" </w:instrText>
          </w:r>
          <w:r>
            <w:fldChar w:fldCharType="separate"/>
          </w:r>
          <w:r>
            <w:rPr>
              <w:rStyle w:val="44"/>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_Toc192505525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6751C77F">
          <w:pPr>
            <w:pStyle w:val="28"/>
            <w:tabs>
              <w:tab w:val="right" w:leader="dot" w:pos="8296"/>
            </w:tabs>
            <w:ind w:firstLine="402"/>
            <w:rPr>
              <w:rFonts w:hint="eastAsia" w:asciiTheme="minorHAnsi" w:hAnsiTheme="minorHAnsi" w:eastAsiaTheme="minorEastAsia" w:cstheme="minorBidi"/>
              <w:b w:val="0"/>
              <w:bCs w:val="0"/>
              <w:caps w:val="0"/>
              <w:sz w:val="22"/>
              <w:szCs w:val="24"/>
              <w14:ligatures w14:val="standardContextual"/>
            </w:rPr>
          </w:pPr>
          <w:r>
            <w:fldChar w:fldCharType="begin"/>
          </w:r>
          <w:r>
            <w:instrText xml:space="preserve"> HYPERLINK \l "_Toc192505526" </w:instrText>
          </w:r>
          <w:r>
            <w:fldChar w:fldCharType="separate"/>
          </w:r>
          <w:r>
            <w:rPr>
              <w:rStyle w:val="44"/>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_Toc192505526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475F3BBD">
          <w:pPr>
            <w:pStyle w:val="28"/>
            <w:tabs>
              <w:tab w:val="right" w:leader="dot" w:pos="8296"/>
            </w:tabs>
            <w:ind w:firstLine="402"/>
            <w:rPr>
              <w:rFonts w:hint="eastAsia" w:asciiTheme="minorHAnsi" w:hAnsiTheme="minorHAnsi" w:eastAsiaTheme="minorEastAsia" w:cstheme="minorBidi"/>
              <w:b w:val="0"/>
              <w:bCs w:val="0"/>
              <w:caps w:val="0"/>
              <w:sz w:val="22"/>
              <w:szCs w:val="24"/>
              <w14:ligatures w14:val="standardContextual"/>
            </w:rPr>
          </w:pPr>
          <w:r>
            <w:fldChar w:fldCharType="begin"/>
          </w:r>
          <w:r>
            <w:instrText xml:space="preserve"> HYPERLINK \l "_Toc192505527" </w:instrText>
          </w:r>
          <w:r>
            <w:fldChar w:fldCharType="separate"/>
          </w:r>
          <w:r>
            <w:rPr>
              <w:rStyle w:val="44"/>
              <w:rFonts w:hint="eastAsia"/>
            </w:rPr>
            <w:t>4　总则</w:t>
          </w:r>
          <w:r>
            <w:rPr>
              <w:rFonts w:hint="eastAsia"/>
            </w:rPr>
            <w:tab/>
          </w:r>
          <w:r>
            <w:rPr>
              <w:rFonts w:hint="eastAsia"/>
            </w:rPr>
            <w:fldChar w:fldCharType="begin"/>
          </w:r>
          <w:r>
            <w:rPr>
              <w:rFonts w:hint="eastAsia"/>
            </w:rPr>
            <w:instrText xml:space="preserve"> </w:instrText>
          </w:r>
          <w:r>
            <w:instrText xml:space="preserve">PAGEREF _Toc192505527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2B838B04">
          <w:pPr>
            <w:pStyle w:val="28"/>
            <w:tabs>
              <w:tab w:val="right" w:leader="dot" w:pos="8296"/>
            </w:tabs>
            <w:ind w:firstLine="402"/>
            <w:rPr>
              <w:rFonts w:hint="eastAsia" w:asciiTheme="minorHAnsi" w:hAnsiTheme="minorHAnsi" w:eastAsiaTheme="minorEastAsia" w:cstheme="minorBidi"/>
              <w:b w:val="0"/>
              <w:bCs w:val="0"/>
              <w:caps w:val="0"/>
              <w:sz w:val="22"/>
              <w:szCs w:val="24"/>
              <w14:ligatures w14:val="standardContextual"/>
            </w:rPr>
          </w:pPr>
          <w:r>
            <w:fldChar w:fldCharType="begin"/>
          </w:r>
          <w:r>
            <w:instrText xml:space="preserve"> HYPERLINK \l "_Toc192505528" </w:instrText>
          </w:r>
          <w:r>
            <w:fldChar w:fldCharType="separate"/>
          </w:r>
          <w:r>
            <w:rPr>
              <w:rStyle w:val="44"/>
              <w:rFonts w:hint="eastAsia"/>
            </w:rPr>
            <w:t>5　技术参数和性能要求</w:t>
          </w:r>
          <w:r>
            <w:rPr>
              <w:rFonts w:hint="eastAsia"/>
            </w:rPr>
            <w:tab/>
          </w:r>
          <w:r>
            <w:rPr>
              <w:rFonts w:hint="eastAsia"/>
            </w:rPr>
            <w:fldChar w:fldCharType="begin"/>
          </w:r>
          <w:r>
            <w:rPr>
              <w:rFonts w:hint="eastAsia"/>
            </w:rPr>
            <w:instrText xml:space="preserve"> </w:instrText>
          </w:r>
          <w:r>
            <w:instrText xml:space="preserve">PAGEREF _Toc192505528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7078EB9F">
          <w:pPr>
            <w:pStyle w:val="28"/>
            <w:tabs>
              <w:tab w:val="right" w:leader="dot" w:pos="8296"/>
            </w:tabs>
            <w:ind w:firstLine="402"/>
            <w:rPr>
              <w:rFonts w:hint="eastAsia" w:asciiTheme="minorHAnsi" w:hAnsiTheme="minorHAnsi" w:eastAsiaTheme="minorEastAsia" w:cstheme="minorBidi"/>
              <w:b w:val="0"/>
              <w:bCs w:val="0"/>
              <w:caps w:val="0"/>
              <w:sz w:val="22"/>
              <w:szCs w:val="24"/>
              <w14:ligatures w14:val="standardContextual"/>
            </w:rPr>
          </w:pPr>
          <w:r>
            <w:fldChar w:fldCharType="begin"/>
          </w:r>
          <w:r>
            <w:instrText xml:space="preserve"> HYPERLINK \l "_Toc192505529" </w:instrText>
          </w:r>
          <w:r>
            <w:fldChar w:fldCharType="separate"/>
          </w:r>
          <w:r>
            <w:rPr>
              <w:rStyle w:val="44"/>
              <w:rFonts w:hint="eastAsia"/>
            </w:rPr>
            <w:t>6 试验</w:t>
          </w:r>
          <w:r>
            <w:rPr>
              <w:rFonts w:hint="eastAsia"/>
            </w:rPr>
            <w:tab/>
          </w:r>
          <w:r>
            <w:rPr>
              <w:rFonts w:hint="eastAsia"/>
            </w:rPr>
            <w:fldChar w:fldCharType="begin"/>
          </w:r>
          <w:r>
            <w:rPr>
              <w:rFonts w:hint="eastAsia"/>
            </w:rPr>
            <w:instrText xml:space="preserve"> </w:instrText>
          </w:r>
          <w:r>
            <w:instrText xml:space="preserve">PAGEREF _Toc192505529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69F4246D">
          <w:pPr>
            <w:pStyle w:val="28"/>
            <w:tabs>
              <w:tab w:val="right" w:leader="dot" w:pos="8296"/>
            </w:tabs>
            <w:ind w:firstLine="402"/>
            <w:rPr>
              <w:rFonts w:hint="eastAsia" w:asciiTheme="minorHAnsi" w:hAnsiTheme="minorHAnsi" w:eastAsiaTheme="minorEastAsia" w:cstheme="minorBidi"/>
              <w:b w:val="0"/>
              <w:bCs w:val="0"/>
              <w:caps w:val="0"/>
              <w:sz w:val="22"/>
              <w:szCs w:val="24"/>
              <w14:ligatures w14:val="standardContextual"/>
            </w:rPr>
          </w:pPr>
          <w:r>
            <w:fldChar w:fldCharType="begin"/>
          </w:r>
          <w:r>
            <w:instrText xml:space="preserve"> HYPERLINK \l "_Toc192505530" </w:instrText>
          </w:r>
          <w:r>
            <w:fldChar w:fldCharType="separate"/>
          </w:r>
          <w:r>
            <w:rPr>
              <w:rStyle w:val="44"/>
              <w:rFonts w:hint="eastAsia"/>
            </w:rPr>
            <w:t>7　技术服务和售后服务</w:t>
          </w:r>
          <w:r>
            <w:rPr>
              <w:rFonts w:hint="eastAsia"/>
            </w:rPr>
            <w:tab/>
          </w:r>
          <w:r>
            <w:rPr>
              <w:rFonts w:hint="eastAsia"/>
            </w:rPr>
            <w:fldChar w:fldCharType="begin"/>
          </w:r>
          <w:r>
            <w:rPr>
              <w:rFonts w:hint="eastAsia"/>
            </w:rPr>
            <w:instrText xml:space="preserve"> </w:instrText>
          </w:r>
          <w:r>
            <w:instrText xml:space="preserve">PAGEREF _Toc192505530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56265891">
          <w:pPr>
            <w:pStyle w:val="28"/>
            <w:tabs>
              <w:tab w:val="right" w:leader="dot" w:pos="8296"/>
            </w:tabs>
            <w:ind w:firstLine="402"/>
            <w:rPr>
              <w:rFonts w:hint="eastAsia" w:asciiTheme="minorHAnsi" w:hAnsiTheme="minorHAnsi" w:eastAsiaTheme="minorEastAsia" w:cstheme="minorBidi"/>
              <w:b w:val="0"/>
              <w:bCs w:val="0"/>
              <w:caps w:val="0"/>
              <w:sz w:val="22"/>
              <w:szCs w:val="24"/>
              <w14:ligatures w14:val="standardContextual"/>
            </w:rPr>
          </w:pPr>
          <w:r>
            <w:fldChar w:fldCharType="begin"/>
          </w:r>
          <w:r>
            <w:instrText xml:space="preserve"> HYPERLINK \l "_Toc192505531" </w:instrText>
          </w:r>
          <w:r>
            <w:fldChar w:fldCharType="separate"/>
          </w:r>
          <w:r>
            <w:rPr>
              <w:rStyle w:val="44"/>
              <w:rFonts w:hint="eastAsia"/>
            </w:rPr>
            <w:t>8　报价表</w:t>
          </w:r>
          <w:r>
            <w:rPr>
              <w:rFonts w:hint="eastAsia"/>
            </w:rPr>
            <w:tab/>
          </w:r>
          <w:r>
            <w:rPr>
              <w:rFonts w:hint="eastAsia"/>
            </w:rPr>
            <w:fldChar w:fldCharType="begin"/>
          </w:r>
          <w:r>
            <w:rPr>
              <w:rFonts w:hint="eastAsia"/>
            </w:rPr>
            <w:instrText xml:space="preserve"> </w:instrText>
          </w:r>
          <w:r>
            <w:instrText xml:space="preserve">PAGEREF _Toc192505531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531E1E88">
          <w:pPr>
            <w:adjustRightInd w:val="0"/>
            <w:snapToGrid w:val="0"/>
          </w:pPr>
          <w:r>
            <w:rPr>
              <w:szCs w:val="21"/>
            </w:rPr>
            <w:fldChar w:fldCharType="end"/>
          </w:r>
        </w:p>
      </w:sdtContent>
    </w:sdt>
    <w:p w14:paraId="458628AA">
      <w:pPr>
        <w:widowControl/>
        <w:jc w:val="center"/>
        <w:rPr>
          <w:rFonts w:hint="eastAsia" w:asciiTheme="minorEastAsia" w:hAnsiTheme="minorEastAsia" w:eastAsiaTheme="minorEastAsia"/>
          <w:b/>
          <w:sz w:val="36"/>
          <w:szCs w:val="36"/>
        </w:rPr>
      </w:pPr>
    </w:p>
    <w:p w14:paraId="46D2D2C1">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20EC1D84">
      <w:pPr>
        <w:pStyle w:val="61"/>
        <w:outlineLvl w:val="0"/>
      </w:pPr>
      <w:bookmarkStart w:id="0" w:name="_Toc344384427"/>
      <w:bookmarkStart w:id="1" w:name="_Toc355884468"/>
      <w:bookmarkStart w:id="2" w:name="_Toc396866892"/>
      <w:bookmarkStart w:id="3" w:name="_Toc192505524"/>
      <w:r>
        <w:rPr>
          <w:rFonts w:hint="eastAsia"/>
        </w:rPr>
        <w:t>1　范围</w:t>
      </w:r>
      <w:bookmarkEnd w:id="0"/>
      <w:bookmarkEnd w:id="1"/>
      <w:bookmarkEnd w:id="2"/>
      <w:bookmarkEnd w:id="3"/>
    </w:p>
    <w:p w14:paraId="1D351DE8">
      <w:pPr>
        <w:topLinePunct/>
        <w:spacing w:line="326" w:lineRule="exact"/>
        <w:ind w:firstLine="420"/>
        <w:rPr>
          <w:snapToGrid w:val="0"/>
          <w:szCs w:val="21"/>
        </w:rPr>
      </w:pPr>
      <w:r>
        <w:rPr>
          <w:rFonts w:hint="eastAsia"/>
          <w:snapToGrid w:val="0"/>
          <w:szCs w:val="21"/>
        </w:rPr>
        <w:t>本部分规定了精密互感器包括微型电流互感器和电压互感器招标的总则、技术参数和性能要求、试验、包装、运输、交货及工厂检验和监造的一般要求。</w:t>
      </w:r>
    </w:p>
    <w:p w14:paraId="19C915AA">
      <w:pPr>
        <w:topLinePunct/>
        <w:spacing w:line="326" w:lineRule="exact"/>
        <w:ind w:firstLine="420"/>
        <w:rPr>
          <w:snapToGrid w:val="0"/>
          <w:szCs w:val="21"/>
        </w:rPr>
      </w:pPr>
      <w:r>
        <w:rPr>
          <w:rFonts w:hint="eastAsia"/>
          <w:snapToGrid w:val="0"/>
          <w:szCs w:val="21"/>
        </w:rPr>
        <w:t>本部分适用于精密互感器的招标。</w:t>
      </w:r>
    </w:p>
    <w:p w14:paraId="5250E011">
      <w:pPr>
        <w:pStyle w:val="61"/>
        <w:outlineLvl w:val="0"/>
      </w:pPr>
      <w:bookmarkStart w:id="4" w:name="_Toc192505525"/>
      <w:r>
        <w:rPr>
          <w:rFonts w:hint="eastAsia"/>
        </w:rPr>
        <w:t>2　规范性引用文件</w:t>
      </w:r>
      <w:bookmarkEnd w:id="4"/>
    </w:p>
    <w:p w14:paraId="03B0C6B1">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5D59F5C9">
      <w:pPr>
        <w:topLinePunct/>
        <w:spacing w:line="326" w:lineRule="exact"/>
        <w:ind w:firstLine="420"/>
        <w:rPr>
          <w:snapToGrid w:val="0"/>
          <w:szCs w:val="21"/>
        </w:rPr>
      </w:pPr>
      <w:r>
        <w:rPr>
          <w:snapToGrid w:val="0"/>
          <w:szCs w:val="21"/>
        </w:rPr>
        <w:t>GB1208</w:t>
      </w:r>
      <w:r>
        <w:rPr>
          <w:rFonts w:hint="eastAsia"/>
          <w:snapToGrid w:val="0"/>
          <w:szCs w:val="21"/>
        </w:rPr>
        <w:t xml:space="preserve"> 《电流互感器》</w:t>
      </w:r>
    </w:p>
    <w:p w14:paraId="1F168885">
      <w:pPr>
        <w:topLinePunct/>
        <w:spacing w:line="326" w:lineRule="exact"/>
        <w:ind w:firstLine="420"/>
        <w:rPr>
          <w:snapToGrid w:val="0"/>
          <w:szCs w:val="21"/>
        </w:rPr>
      </w:pPr>
      <w:r>
        <w:rPr>
          <w:rFonts w:hint="eastAsia"/>
          <w:snapToGrid w:val="0"/>
          <w:szCs w:val="21"/>
        </w:rPr>
        <w:t>GB1207 《电压互感器》</w:t>
      </w:r>
    </w:p>
    <w:p w14:paraId="3AC6AC5F">
      <w:pPr>
        <w:topLinePunct/>
        <w:spacing w:line="326" w:lineRule="exact"/>
        <w:ind w:firstLine="420"/>
        <w:rPr>
          <w:snapToGrid w:val="0"/>
          <w:szCs w:val="21"/>
        </w:rPr>
      </w:pPr>
      <w:r>
        <w:rPr>
          <w:rFonts w:hint="eastAsia"/>
          <w:snapToGrid w:val="0"/>
          <w:szCs w:val="21"/>
        </w:rPr>
        <w:t>DL/T 725 《电力用电流互</w:t>
      </w:r>
      <w:r>
        <w:rPr>
          <w:snapToGrid w:val="0"/>
          <w:szCs w:val="21"/>
        </w:rPr>
        <w:t>感器使用技术规范》</w:t>
      </w:r>
    </w:p>
    <w:p w14:paraId="612A2118">
      <w:pPr>
        <w:topLinePunct/>
        <w:spacing w:line="326" w:lineRule="exact"/>
        <w:ind w:firstLine="420"/>
        <w:rPr>
          <w:snapToGrid w:val="0"/>
          <w:szCs w:val="21"/>
        </w:rPr>
      </w:pPr>
      <w:r>
        <w:rPr>
          <w:snapToGrid w:val="0"/>
          <w:szCs w:val="21"/>
        </w:rPr>
        <w:t>GB/T 20840.2</w:t>
      </w:r>
      <w:r>
        <w:rPr>
          <w:rFonts w:hint="eastAsia"/>
          <w:snapToGrid w:val="0"/>
          <w:szCs w:val="21"/>
        </w:rPr>
        <w:t xml:space="preserve"> </w:t>
      </w:r>
      <w:r>
        <w:rPr>
          <w:snapToGrid w:val="0"/>
          <w:szCs w:val="21"/>
        </w:rPr>
        <w:t>《互感器 第 2 部分：电流互感器的补充技术要求》</w:t>
      </w:r>
    </w:p>
    <w:p w14:paraId="38152830">
      <w:pPr>
        <w:topLinePunct/>
        <w:spacing w:line="326" w:lineRule="exact"/>
        <w:ind w:firstLine="420"/>
        <w:rPr>
          <w:snapToGrid w:val="0"/>
          <w:szCs w:val="21"/>
        </w:rPr>
      </w:pPr>
      <w:r>
        <w:rPr>
          <w:snapToGrid w:val="0"/>
          <w:szCs w:val="21"/>
        </w:rPr>
        <w:t>GB/T 20840.</w:t>
      </w:r>
      <w:r>
        <w:rPr>
          <w:rFonts w:hint="eastAsia"/>
          <w:snapToGrid w:val="0"/>
          <w:szCs w:val="21"/>
        </w:rPr>
        <w:t xml:space="preserve">3 </w:t>
      </w:r>
      <w:r>
        <w:rPr>
          <w:snapToGrid w:val="0"/>
          <w:szCs w:val="21"/>
        </w:rPr>
        <w:t>《互感器 第 3 部分：电磁式电压互感器的补充技术要求》</w:t>
      </w:r>
    </w:p>
    <w:p w14:paraId="63273B02">
      <w:pPr>
        <w:topLinePunct/>
        <w:spacing w:line="326" w:lineRule="exact"/>
        <w:ind w:firstLine="420"/>
        <w:rPr>
          <w:snapToGrid w:val="0"/>
          <w:szCs w:val="21"/>
        </w:rPr>
      </w:pPr>
      <w:r>
        <w:rPr>
          <w:snapToGrid w:val="0"/>
          <w:szCs w:val="21"/>
        </w:rPr>
        <w:t>GB/T 50063</w:t>
      </w:r>
      <w:r>
        <w:rPr>
          <w:rFonts w:hint="eastAsia"/>
          <w:snapToGrid w:val="0"/>
          <w:szCs w:val="21"/>
        </w:rPr>
        <w:t xml:space="preserve"> </w:t>
      </w:r>
      <w:r>
        <w:rPr>
          <w:snapToGrid w:val="0"/>
          <w:szCs w:val="21"/>
        </w:rPr>
        <w:t>《电力装置电测量仪表装置设计规范》</w:t>
      </w:r>
    </w:p>
    <w:p w14:paraId="7B0EC9EA">
      <w:pPr>
        <w:pStyle w:val="61"/>
        <w:outlineLvl w:val="0"/>
      </w:pPr>
      <w:bookmarkStart w:id="5" w:name="_Toc192505526"/>
      <w:r>
        <w:rPr>
          <w:rFonts w:hint="eastAsia"/>
        </w:rPr>
        <w:t>3　术语和定义</w:t>
      </w:r>
      <w:bookmarkEnd w:id="5"/>
    </w:p>
    <w:p w14:paraId="01650C40">
      <w:pPr>
        <w:topLinePunct/>
        <w:spacing w:line="326" w:lineRule="exact"/>
        <w:ind w:firstLine="420"/>
        <w:rPr>
          <w:snapToGrid w:val="0"/>
          <w:szCs w:val="21"/>
        </w:rPr>
      </w:pPr>
      <w:r>
        <w:rPr>
          <w:rFonts w:hint="eastAsia"/>
          <w:snapToGrid w:val="0"/>
          <w:szCs w:val="21"/>
        </w:rPr>
        <w:t>下列术语和定义适用于本文件。</w:t>
      </w:r>
    </w:p>
    <w:p w14:paraId="1C9398A4">
      <w:pPr>
        <w:topLinePunct/>
        <w:spacing w:line="326" w:lineRule="exact"/>
        <w:ind w:firstLine="420"/>
        <w:rPr>
          <w:snapToGrid w:val="0"/>
          <w:szCs w:val="21"/>
        </w:rPr>
      </w:pPr>
      <w:r>
        <w:rPr>
          <w:snapToGrid w:val="0"/>
          <w:szCs w:val="21"/>
        </w:rPr>
        <w:t>3.1</w:t>
      </w:r>
      <w:r>
        <w:rPr>
          <w:rFonts w:hint="eastAsia"/>
          <w:snapToGrid w:val="0"/>
          <w:szCs w:val="21"/>
        </w:rPr>
        <w:t>　</w:t>
      </w:r>
    </w:p>
    <w:p w14:paraId="6553978E">
      <w:pPr>
        <w:topLinePunct/>
        <w:spacing w:line="326" w:lineRule="exact"/>
        <w:ind w:firstLine="420"/>
        <w:rPr>
          <w:snapToGrid w:val="0"/>
          <w:szCs w:val="21"/>
        </w:rPr>
      </w:pPr>
      <w:r>
        <w:rPr>
          <w:rFonts w:hint="eastAsia"/>
          <w:snapToGrid w:val="0"/>
          <w:szCs w:val="21"/>
        </w:rPr>
        <w:t>招标人　</w:t>
      </w:r>
      <w:r>
        <w:rPr>
          <w:snapToGrid w:val="0"/>
          <w:szCs w:val="21"/>
        </w:rPr>
        <w:t>bidder</w:t>
      </w:r>
    </w:p>
    <w:p w14:paraId="52EA0EF8">
      <w:pPr>
        <w:topLinePunct/>
        <w:spacing w:line="326" w:lineRule="exact"/>
        <w:ind w:firstLine="420"/>
        <w:rPr>
          <w:snapToGrid w:val="0"/>
          <w:szCs w:val="21"/>
        </w:rPr>
      </w:pPr>
      <w:r>
        <w:rPr>
          <w:rFonts w:hint="eastAsia"/>
          <w:snapToGrid w:val="0"/>
          <w:szCs w:val="21"/>
        </w:rPr>
        <w:t>提出招标项目，进行招标的法人或其他组织。</w:t>
      </w:r>
    </w:p>
    <w:p w14:paraId="784D234C">
      <w:pPr>
        <w:topLinePunct/>
        <w:spacing w:line="326" w:lineRule="exact"/>
        <w:ind w:firstLine="420"/>
        <w:rPr>
          <w:snapToGrid w:val="0"/>
          <w:szCs w:val="21"/>
        </w:rPr>
      </w:pPr>
      <w:r>
        <w:rPr>
          <w:snapToGrid w:val="0"/>
          <w:szCs w:val="21"/>
        </w:rPr>
        <w:t>3.2</w:t>
      </w:r>
      <w:r>
        <w:rPr>
          <w:rFonts w:hint="eastAsia"/>
          <w:snapToGrid w:val="0"/>
          <w:szCs w:val="21"/>
        </w:rPr>
        <w:t>　</w:t>
      </w:r>
    </w:p>
    <w:p w14:paraId="42500755">
      <w:pPr>
        <w:topLinePunct/>
        <w:spacing w:line="326" w:lineRule="exact"/>
        <w:ind w:firstLine="420"/>
        <w:rPr>
          <w:snapToGrid w:val="0"/>
          <w:szCs w:val="21"/>
        </w:rPr>
      </w:pPr>
      <w:r>
        <w:rPr>
          <w:rFonts w:hint="eastAsia"/>
          <w:snapToGrid w:val="0"/>
          <w:szCs w:val="21"/>
        </w:rPr>
        <w:t>投标人　</w:t>
      </w:r>
      <w:r>
        <w:rPr>
          <w:snapToGrid w:val="0"/>
          <w:szCs w:val="21"/>
        </w:rPr>
        <w:t>tenderer</w:t>
      </w:r>
    </w:p>
    <w:p w14:paraId="133610F0">
      <w:pPr>
        <w:topLinePunct/>
        <w:spacing w:line="326" w:lineRule="exact"/>
        <w:ind w:firstLine="420"/>
        <w:rPr>
          <w:snapToGrid w:val="0"/>
          <w:szCs w:val="21"/>
        </w:rPr>
      </w:pPr>
      <w:r>
        <w:rPr>
          <w:rFonts w:hint="eastAsia"/>
          <w:snapToGrid w:val="0"/>
          <w:szCs w:val="21"/>
        </w:rPr>
        <w:t>响应招标、参加投标竞争的法人或者其他组织。</w:t>
      </w:r>
    </w:p>
    <w:p w14:paraId="1C347E7D">
      <w:pPr>
        <w:topLinePunct/>
        <w:spacing w:line="326" w:lineRule="exact"/>
        <w:ind w:firstLine="420"/>
        <w:rPr>
          <w:snapToGrid w:val="0"/>
          <w:szCs w:val="21"/>
        </w:rPr>
      </w:pPr>
      <w:r>
        <w:rPr>
          <w:snapToGrid w:val="0"/>
          <w:szCs w:val="21"/>
        </w:rPr>
        <w:t>3.3</w:t>
      </w:r>
      <w:r>
        <w:rPr>
          <w:rFonts w:hint="eastAsia"/>
          <w:snapToGrid w:val="0"/>
          <w:szCs w:val="21"/>
        </w:rPr>
        <w:t>　</w:t>
      </w:r>
    </w:p>
    <w:p w14:paraId="24E536D6">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087576C7">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1D5A6B44">
      <w:pPr>
        <w:topLinePunct/>
        <w:spacing w:line="326" w:lineRule="exact"/>
        <w:ind w:firstLine="420"/>
        <w:rPr>
          <w:snapToGrid w:val="0"/>
          <w:szCs w:val="21"/>
        </w:rPr>
      </w:pPr>
      <w:r>
        <w:rPr>
          <w:snapToGrid w:val="0"/>
          <w:szCs w:val="21"/>
        </w:rPr>
        <w:t>3.4</w:t>
      </w:r>
    </w:p>
    <w:p w14:paraId="30D1C14F">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79F1B09D">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48116AB9">
      <w:pPr>
        <w:pStyle w:val="61"/>
        <w:outlineLvl w:val="0"/>
      </w:pPr>
      <w:bookmarkStart w:id="6" w:name="_Toc192505527"/>
      <w:r>
        <w:rPr>
          <w:rFonts w:hint="eastAsia"/>
        </w:rPr>
        <w:t>4　总则</w:t>
      </w:r>
      <w:bookmarkEnd w:id="6"/>
    </w:p>
    <w:p w14:paraId="5F38266E">
      <w:pPr>
        <w:pStyle w:val="60"/>
      </w:pPr>
      <w:r>
        <w:rPr>
          <w:rFonts w:hint="eastAsia"/>
        </w:rPr>
        <w:t>4</w:t>
      </w:r>
      <w:r>
        <w:rPr>
          <w:rFonts w:hint="eastAsia"/>
          <w:spacing w:val="20"/>
        </w:rPr>
        <w:t>.</w:t>
      </w:r>
      <w:r>
        <w:rPr>
          <w:rFonts w:hint="eastAsia"/>
        </w:rPr>
        <w:t>1　一般规定</w:t>
      </w:r>
    </w:p>
    <w:p w14:paraId="08272108">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602AE5EE">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68C3B3E0">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36D87F1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2A90E369">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1370FA41">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703D518C">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7B6E6210">
      <w:pPr>
        <w:pStyle w:val="60"/>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54B509E8">
      <w:pPr>
        <w:topLinePunct/>
        <w:spacing w:line="312" w:lineRule="exact"/>
        <w:ind w:firstLine="420"/>
        <w:rPr>
          <w:snapToGrid w:val="0"/>
          <w:szCs w:val="21"/>
        </w:rPr>
      </w:pPr>
      <w:r>
        <w:rPr>
          <w:rFonts w:hint="eastAsia"/>
          <w:snapToGrid w:val="0"/>
          <w:szCs w:val="21"/>
        </w:rPr>
        <w:t>投标人应提供下列资格文件：</w:t>
      </w:r>
    </w:p>
    <w:p w14:paraId="4049DA21">
      <w:pPr>
        <w:pStyle w:val="240"/>
        <w:numPr>
          <w:ilvl w:val="0"/>
          <w:numId w:val="1"/>
        </w:numPr>
        <w:topLinePunct/>
        <w:spacing w:line="312" w:lineRule="exact"/>
        <w:ind w:firstLineChars="0"/>
        <w:rPr>
          <w:snapToGrid w:val="0"/>
          <w:szCs w:val="21"/>
        </w:rPr>
      </w:pPr>
      <w:r>
        <w:rPr>
          <w:rFonts w:hint="eastAsia"/>
          <w:snapToGrid w:val="0"/>
          <w:szCs w:val="21"/>
        </w:rPr>
        <w:t>投标人或制造商投标产品的销售记录及相应的最终用户的使用情况证明。</w:t>
      </w:r>
    </w:p>
    <w:p w14:paraId="2F5B9E12">
      <w:pPr>
        <w:pStyle w:val="240"/>
        <w:numPr>
          <w:ilvl w:val="0"/>
          <w:numId w:val="1"/>
        </w:numPr>
        <w:topLinePunct/>
        <w:spacing w:line="312" w:lineRule="exact"/>
        <w:ind w:firstLineChars="0"/>
        <w:rPr>
          <w:snapToGrid w:val="0"/>
          <w:szCs w:val="21"/>
        </w:rPr>
      </w:pPr>
      <w:r>
        <w:rPr>
          <w:snapToGrid w:val="0"/>
          <w:szCs w:val="21"/>
        </w:rPr>
        <w:t>投标人具有生产精密互感器的合法许可</w:t>
      </w:r>
      <w:r>
        <w:rPr>
          <w:rFonts w:hint="eastAsia"/>
          <w:snapToGrid w:val="0"/>
          <w:szCs w:val="21"/>
        </w:rPr>
        <w:t>。</w:t>
      </w:r>
    </w:p>
    <w:p w14:paraId="6C41FD73">
      <w:pPr>
        <w:topLinePunct/>
        <w:spacing w:line="312" w:lineRule="exact"/>
        <w:ind w:left="840" w:hanging="420"/>
        <w:rPr>
          <w:snapToGrid w:val="0"/>
          <w:szCs w:val="21"/>
        </w:rPr>
      </w:pPr>
      <w:r>
        <w:rPr>
          <w:rFonts w:hint="eastAsia"/>
          <w:snapToGrid w:val="0"/>
          <w:szCs w:val="21"/>
        </w:rPr>
        <w:t>c）</w:t>
      </w:r>
      <w:r>
        <w:rPr>
          <w:snapToGrid w:val="0"/>
          <w:szCs w:val="21"/>
        </w:rPr>
        <w:tab/>
      </w:r>
      <w:r>
        <w:rPr>
          <w:rFonts w:hint="eastAsia"/>
          <w:snapToGrid w:val="0"/>
          <w:szCs w:val="21"/>
        </w:rPr>
        <w:t>投标人或制造商应提供权威机关颁发的</w:t>
      </w:r>
      <w:r>
        <w:rPr>
          <w:snapToGrid w:val="0"/>
          <w:szCs w:val="21"/>
        </w:rPr>
        <w:t>ISO 9001</w:t>
      </w:r>
      <w:r>
        <w:rPr>
          <w:rFonts w:hint="eastAsia"/>
          <w:snapToGrid w:val="0"/>
          <w:szCs w:val="21"/>
        </w:rPr>
        <w:t>系列的认证书。</w:t>
      </w:r>
    </w:p>
    <w:p w14:paraId="3AA52056">
      <w:pPr>
        <w:topLinePunct/>
        <w:spacing w:line="312" w:lineRule="exact"/>
        <w:ind w:left="840" w:hanging="420"/>
        <w:rPr>
          <w:snapToGrid w:val="0"/>
          <w:szCs w:val="21"/>
        </w:rPr>
      </w:pPr>
      <w:r>
        <w:rPr>
          <w:rFonts w:hint="eastAsia"/>
          <w:snapToGrid w:val="0"/>
          <w:szCs w:val="21"/>
        </w:rPr>
        <w:t>d）</w:t>
      </w:r>
      <w:r>
        <w:rPr>
          <w:snapToGrid w:val="0"/>
          <w:szCs w:val="21"/>
        </w:rPr>
        <w:tab/>
      </w:r>
      <w:r>
        <w:rPr>
          <w:rFonts w:hint="eastAsia"/>
          <w:snapToGrid w:val="0"/>
          <w:szCs w:val="21"/>
        </w:rPr>
        <w:t>投标人或制造商应提供履行合同所需的技术和主要设备等生产能力的文件资料。</w:t>
      </w:r>
    </w:p>
    <w:p w14:paraId="60F709D2">
      <w:pPr>
        <w:topLinePunct/>
        <w:spacing w:line="312" w:lineRule="exact"/>
        <w:ind w:left="840" w:hanging="420"/>
        <w:rPr>
          <w:snapToGrid w:val="0"/>
          <w:szCs w:val="21"/>
        </w:rPr>
      </w:pPr>
      <w:r>
        <w:rPr>
          <w:rFonts w:hint="eastAsia"/>
          <w:snapToGrid w:val="0"/>
          <w:szCs w:val="21"/>
        </w:rPr>
        <w:t>e）</w:t>
      </w:r>
      <w:r>
        <w:rPr>
          <w:snapToGrid w:val="0"/>
          <w:szCs w:val="21"/>
        </w:rPr>
        <w:tab/>
      </w:r>
      <w:r>
        <w:rPr>
          <w:snapToGrid w:val="0"/>
          <w:szCs w:val="21"/>
        </w:rPr>
        <w:t>投标人应具备独立完成产品设计、生产、安装调试及售后服务的能力</w:t>
      </w:r>
      <w:r>
        <w:rPr>
          <w:rFonts w:hint="eastAsia"/>
          <w:snapToGrid w:val="0"/>
          <w:szCs w:val="21"/>
        </w:rPr>
        <w:t>。</w:t>
      </w:r>
    </w:p>
    <w:p w14:paraId="2EF7A603">
      <w:pPr>
        <w:topLinePunct/>
        <w:spacing w:line="312" w:lineRule="exact"/>
        <w:ind w:left="840" w:hanging="420"/>
        <w:rPr>
          <w:snapToGrid w:val="0"/>
          <w:szCs w:val="21"/>
        </w:rPr>
      </w:pPr>
      <w:r>
        <w:rPr>
          <w:rFonts w:hint="eastAsia"/>
          <w:snapToGrid w:val="0"/>
          <w:szCs w:val="21"/>
        </w:rPr>
        <w:t>f）</w:t>
      </w:r>
      <w:r>
        <w:rPr>
          <w:snapToGrid w:val="0"/>
          <w:szCs w:val="21"/>
        </w:rPr>
        <w:t>投标产品必须是全新且未使用过的，在正常使用情况下，应能稳定运行，满足技术参数和性能要求</w:t>
      </w:r>
    </w:p>
    <w:p w14:paraId="0040A3F2">
      <w:pPr>
        <w:pStyle w:val="60"/>
      </w:pPr>
      <w:r>
        <w:rPr>
          <w:rFonts w:hint="eastAsia"/>
        </w:rPr>
        <w:t>4</w:t>
      </w:r>
      <w:r>
        <w:rPr>
          <w:rFonts w:hint="eastAsia"/>
          <w:spacing w:val="20"/>
        </w:rPr>
        <w:t>.</w:t>
      </w:r>
      <w:r>
        <w:rPr>
          <w:rFonts w:hint="eastAsia"/>
        </w:rPr>
        <w:t>3　适用范围</w:t>
      </w:r>
    </w:p>
    <w:p w14:paraId="4ADE288C">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w:t>
      </w:r>
      <w:r>
        <w:rPr>
          <w:szCs w:val="21"/>
        </w:rPr>
        <w:t>适用于采购用于继电保护装置和多功能仪表的精密互感器，具体规格包括 5A/2.5mA、2mA/2mA、100A/7.07V、5A/3.53V、120V/7.07V</w:t>
      </w:r>
      <w:r>
        <w:rPr>
          <w:rFonts w:hint="eastAsia"/>
          <w:szCs w:val="21"/>
        </w:rPr>
        <w:t>。</w:t>
      </w:r>
    </w:p>
    <w:p w14:paraId="47C64E17">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1DAE984E">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4E15BAE8">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32B03691">
      <w:pPr>
        <w:topLinePunct/>
        <w:spacing w:line="312" w:lineRule="exact"/>
        <w:ind w:firstLine="420"/>
        <w:rPr>
          <w:szCs w:val="21"/>
        </w:rPr>
      </w:pPr>
      <w:r>
        <w:rPr>
          <w:rFonts w:hint="eastAsia"/>
          <w:szCs w:val="21"/>
        </w:rPr>
        <w:t>投标人应提供具体投标系列所对应的资质文件：</w:t>
      </w:r>
    </w:p>
    <w:p w14:paraId="4379CAD0">
      <w:pPr>
        <w:ind w:left="840" w:hanging="420"/>
      </w:pPr>
      <w:r>
        <w:t>a</w:t>
      </w:r>
      <w:r>
        <w:rPr>
          <w:rFonts w:hint="eastAsia"/>
        </w:rPr>
        <w:t>）</w:t>
      </w:r>
      <w:r>
        <w:tab/>
      </w:r>
      <w:r>
        <w:rPr>
          <w:rFonts w:hint="eastAsia"/>
        </w:rPr>
        <w:t>互感器的型式试验报告和出厂试验报告。</w:t>
      </w:r>
    </w:p>
    <w:p w14:paraId="326655A5">
      <w:pPr>
        <w:ind w:left="840" w:hanging="420"/>
      </w:pPr>
      <w:r>
        <w:t>b</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1AF06ABE">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37ED831A">
      <w:pPr>
        <w:topLinePunct/>
        <w:spacing w:line="312" w:lineRule="exact"/>
        <w:ind w:firstLine="420" w:firstLineChars="200"/>
        <w:rPr>
          <w:snapToGrid w:val="0"/>
          <w:szCs w:val="21"/>
        </w:rPr>
      </w:pPr>
      <w:r>
        <w:rPr>
          <w:rFonts w:hint="eastAsia"/>
          <w:snapToGrid w:val="0"/>
          <w:szCs w:val="21"/>
        </w:rPr>
        <w:t>必须严格遵循 GB 1208 - 2016《电流互感器》和 GB 1207 - 2017《电压互感器》标准中适用于内部安装互感器的相关条款。这些标准规定了互感器的基本设计原则、制造工艺要求以及性能测试方法，确保产品符合行业规范，保障质量的稳定性与可靠性。</w:t>
      </w:r>
    </w:p>
    <w:p w14:paraId="1F01C857">
      <w:pPr>
        <w:pStyle w:val="60"/>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226F6289">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2623ECB3">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022BC257">
      <w:pPr>
        <w:pStyle w:val="60"/>
        <w:rPr>
          <w:snapToGrid w:val="0"/>
        </w:rPr>
      </w:pPr>
      <w:r>
        <w:rPr>
          <w:rFonts w:hint="eastAsia"/>
          <w:snapToGrid w:val="0"/>
        </w:rPr>
        <w:t>4</w:t>
      </w:r>
      <w:r>
        <w:rPr>
          <w:rFonts w:hint="eastAsia"/>
          <w:snapToGrid w:val="0"/>
          <w:spacing w:val="20"/>
        </w:rPr>
        <w:t>.7</w:t>
      </w:r>
      <w:r>
        <w:rPr>
          <w:rFonts w:hint="eastAsia"/>
          <w:snapToGrid w:val="0"/>
        </w:rPr>
        <w:t>　</w:t>
      </w:r>
      <w:r>
        <w:rPr>
          <w:snapToGrid w:val="0"/>
        </w:rPr>
        <w:t>备品备件要求​</w:t>
      </w:r>
    </w:p>
    <w:p w14:paraId="008A9F66">
      <w:pPr>
        <w:topLinePunct/>
        <w:spacing w:line="312" w:lineRule="exact"/>
        <w:ind w:firstLine="420" w:firstLineChars="200"/>
        <w:rPr>
          <w:snapToGrid w:val="0"/>
          <w:szCs w:val="21"/>
        </w:rPr>
      </w:pPr>
      <w:r>
        <w:t>a</w:t>
      </w:r>
      <w:r>
        <w:rPr>
          <w:rFonts w:hint="eastAsia"/>
        </w:rPr>
        <w:t>）</w:t>
      </w:r>
      <w:r>
        <w:rPr>
          <w:snapToGrid w:val="0"/>
          <w:szCs w:val="21"/>
        </w:rPr>
        <w:t>种类与数量：投标方应根据不同规格互感器，提供一定数量的易损备品备件。​</w:t>
      </w:r>
    </w:p>
    <w:p w14:paraId="3FC1D3BF">
      <w:pPr>
        <w:topLinePunct/>
        <w:spacing w:line="312" w:lineRule="exact"/>
        <w:ind w:firstLine="420" w:firstLineChars="200"/>
        <w:rPr>
          <w:snapToGrid w:val="0"/>
          <w:szCs w:val="21"/>
        </w:rPr>
      </w:pPr>
      <w:r>
        <w:rPr>
          <w:snapToGrid w:val="0"/>
          <w:szCs w:val="21"/>
        </w:rPr>
        <w:t>b</w:t>
      </w:r>
      <w:r>
        <w:rPr>
          <w:rFonts w:hint="eastAsia"/>
          <w:snapToGrid w:val="0"/>
          <w:szCs w:val="21"/>
        </w:rPr>
        <w:t>）</w:t>
      </w:r>
      <w:r>
        <w:rPr>
          <w:snapToGrid w:val="0"/>
          <w:szCs w:val="21"/>
        </w:rPr>
        <w:t>质量保证：备品备件质量应与互感器本体质量一致，遵循相同的技术标准和生产工艺。投标方需提供备品备件的质量证明文件，确保其在正常贮存和使用条件下，性能稳定可靠，无质量缺陷。​</w:t>
      </w:r>
    </w:p>
    <w:p w14:paraId="4AD01C88">
      <w:pPr>
        <w:topLinePunct/>
        <w:spacing w:line="312" w:lineRule="exact"/>
        <w:ind w:firstLine="420" w:firstLineChars="200"/>
        <w:rPr>
          <w:snapToGrid w:val="0"/>
          <w:szCs w:val="21"/>
        </w:rPr>
      </w:pPr>
      <w:r>
        <w:rPr>
          <w:rFonts w:hint="eastAsia"/>
          <w:snapToGrid w:val="0"/>
          <w:szCs w:val="21"/>
        </w:rPr>
        <w:t>c）</w:t>
      </w:r>
      <w:r>
        <w:rPr>
          <w:snapToGrid w:val="0"/>
          <w:szCs w:val="21"/>
        </w:rPr>
        <w:t>标识与包装：备品备件应进行清晰标识，注明适用的互感器规格、型号、名称等信息。采用独立包装，包装材料应具备良好的防护性能，防止在运输和贮存过程中受到损坏。</w:t>
      </w:r>
    </w:p>
    <w:p w14:paraId="1BE790D9">
      <w:pPr>
        <w:pStyle w:val="61"/>
        <w:shd w:val="clear" w:color="auto" w:fill="FFFFFF" w:themeFill="background1"/>
        <w:outlineLvl w:val="0"/>
        <w:rPr>
          <w:color w:val="000000" w:themeColor="text1"/>
          <w14:textFill>
            <w14:solidFill>
              <w14:schemeClr w14:val="tx1"/>
            </w14:solidFill>
          </w14:textFill>
        </w:rPr>
      </w:pPr>
      <w:bookmarkStart w:id="7" w:name="_Toc192505528"/>
      <w:r>
        <w:rPr>
          <w:rFonts w:hint="eastAsia"/>
          <w:color w:val="000000" w:themeColor="text1"/>
          <w14:textFill>
            <w14:solidFill>
              <w14:schemeClr w14:val="tx1"/>
            </w14:solidFill>
          </w14:textFill>
        </w:rPr>
        <w:t>5　技术参数和性能要求</w:t>
      </w:r>
      <w:bookmarkEnd w:id="7"/>
    </w:p>
    <w:p w14:paraId="1DAC8E3B">
      <w:pPr>
        <w:pStyle w:val="60"/>
        <w:shd w:val="clear" w:color="auto" w:fill="FFFFFF" w:themeFill="background1"/>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spacing w:val="20"/>
          <w14:textFill>
            <w14:solidFill>
              <w14:schemeClr w14:val="tx1"/>
            </w14:solidFill>
          </w14:textFill>
        </w:rPr>
        <w:t>.</w:t>
      </w:r>
      <w:r>
        <w:rPr>
          <w:rFonts w:hint="eastAsia"/>
          <w:color w:val="000000" w:themeColor="text1"/>
          <w14:textFill>
            <w14:solidFill>
              <w14:schemeClr w14:val="tx1"/>
            </w14:solidFill>
          </w14:textFill>
        </w:rPr>
        <w:t>1　使用环境</w:t>
      </w:r>
    </w:p>
    <w:p w14:paraId="7FD92627">
      <w:pPr>
        <w:shd w:val="clear" w:color="auto" w:fill="FFFFFF" w:themeFill="background1"/>
        <w:ind w:left="840" w:hanging="420"/>
        <w:rPr>
          <w:color w:val="000000" w:themeColor="text1"/>
          <w14:textFill>
            <w14:solidFill>
              <w14:schemeClr w14:val="tx1"/>
            </w14:solidFill>
          </w14:textFill>
        </w:rPr>
      </w:pPr>
      <w:r>
        <w:rPr>
          <w:color w:val="000000" w:themeColor="text1"/>
          <w14:textFill>
            <w14:solidFill>
              <w14:schemeClr w14:val="tx1"/>
            </w14:solidFill>
          </w14:textFill>
        </w:rPr>
        <w:t>a</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海拔高度：≤2000m。</w:t>
      </w:r>
    </w:p>
    <w:p w14:paraId="48999343">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b）</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环境温度：-40℃～+85℃。</w:t>
      </w:r>
    </w:p>
    <w:p w14:paraId="46B35D29">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年平均温度：25℃。</w:t>
      </w:r>
    </w:p>
    <w:p w14:paraId="6A09D658">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d）</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最大日温差：15℃。</w:t>
      </w:r>
    </w:p>
    <w:p w14:paraId="1670CFC1">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e）</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空气相对湿度：日平均相对湿度≤95%，月平均相对湿度≤90%。</w:t>
      </w:r>
    </w:p>
    <w:p w14:paraId="00DED42B">
      <w:pPr>
        <w:pStyle w:val="60"/>
        <w:shd w:val="clear" w:color="auto" w:fill="FFFFFF" w:themeFill="background1"/>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spacing w:val="20"/>
          <w14:textFill>
            <w14:solidFill>
              <w14:schemeClr w14:val="tx1"/>
            </w14:solidFill>
          </w14:textFill>
        </w:rPr>
        <w:t>.</w:t>
      </w:r>
      <w:r>
        <w:rPr>
          <w:rFonts w:hint="eastAsia"/>
          <w:color w:val="000000" w:themeColor="text1"/>
          <w14:textFill>
            <w14:solidFill>
              <w14:schemeClr w14:val="tx1"/>
            </w14:solidFill>
          </w14:textFill>
        </w:rPr>
        <w:t>2　通用要求</w:t>
      </w:r>
    </w:p>
    <w:p w14:paraId="23EDFA8E">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5.2.1电磁兼容性</w:t>
      </w:r>
      <w:r>
        <w:rPr>
          <w:color w:val="000000" w:themeColor="text1"/>
          <w14:textFill>
            <w14:solidFill>
              <w14:schemeClr w14:val="tx1"/>
            </w14:solidFill>
          </w14:textFill>
        </w:rPr>
        <w:t>：互感器应具备良好的电磁兼容性，能承受 GB/T 17626 标准中规定的静电放电抗扰度试验、射频电磁场辐射抗扰度试验、电快速瞬变脉冲群抗扰度试验、浪涌（冲击）抗扰度试验等，在试验过程中和试验后，互感器的测量性能应不受影响。例如，在静电放电抗扰度试验中，按照规定的放电等级进行放电后，互感器的测量误差仍应符合准确级次要求。​</w:t>
      </w:r>
    </w:p>
    <w:p w14:paraId="05434ADB">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5.2.2</w:t>
      </w:r>
      <w:r>
        <w:rPr>
          <w:color w:val="000000" w:themeColor="text1"/>
          <w14:textFill>
            <w14:solidFill>
              <w14:schemeClr w14:val="tx1"/>
            </w14:solidFill>
          </w14:textFill>
        </w:rPr>
        <w:t>抗电磁干扰能力：在实际运行环境中，互感器应能有效抵抗周围电气设备产生的电磁干扰，确保测量信号的准确性和稳定性。在强电磁干扰环境下，互感器的输出信号不应出现明显波动或失真，保证保护装置和多功能仪表能够接收到可靠的测量信号。</w:t>
      </w:r>
    </w:p>
    <w:p w14:paraId="2D782B41">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5.2.3环保符合RoHS环保要求</w:t>
      </w:r>
      <w:r>
        <w:rPr>
          <w:color w:val="000000" w:themeColor="text1"/>
          <w14:textFill>
            <w14:solidFill>
              <w14:schemeClr w14:val="tx1"/>
            </w14:solidFill>
          </w14:textFill>
        </w:rPr>
        <w:t>。</w:t>
      </w:r>
    </w:p>
    <w:p w14:paraId="72DE2443">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5.2.4</w:t>
      </w:r>
      <w:r>
        <w:rPr>
          <w:color w:val="000000" w:themeColor="text1"/>
          <w14:textFill>
            <w14:solidFill>
              <w14:schemeClr w14:val="tx1"/>
            </w14:solidFill>
          </w14:textFill>
        </w:rPr>
        <w:t>寿命：互感器的设计寿命应不少于 10 年，在正常使用和维护条件下，应能长期稳定运行，保证测量性能的可靠性。在 10 年的使用期限内，互感器的各项技术参数应始终满足本技术要求的规定。​</w:t>
      </w:r>
    </w:p>
    <w:p w14:paraId="4BE81621">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5.2.5</w:t>
      </w:r>
      <w:r>
        <w:rPr>
          <w:color w:val="000000" w:themeColor="text1"/>
          <w14:textFill>
            <w14:solidFill>
              <w14:schemeClr w14:val="tx1"/>
            </w14:solidFill>
          </w14:textFill>
        </w:rPr>
        <w:t>稳定性：互感器在长期运行过程中，其性能应保持稳定，测量误差不应随时间发生明显变化。例如，在运行 5 年后，互感器的准确级次仍应满足初始设计要求，确保保护装置和多功能仪表的长期可靠运行。</w:t>
      </w:r>
    </w:p>
    <w:p w14:paraId="1DBF4B77">
      <w:pPr>
        <w:pStyle w:val="60"/>
        <w:shd w:val="clear" w:color="auto" w:fill="FFFFFF" w:themeFill="background1"/>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spacing w:val="20"/>
          <w14:textFill>
            <w14:solidFill>
              <w14:schemeClr w14:val="tx1"/>
            </w14:solidFill>
          </w14:textFill>
        </w:rPr>
        <w:t>.3</w:t>
      </w:r>
      <w:r>
        <w:rPr>
          <w:rFonts w:hint="eastAsia"/>
          <w:color w:val="000000" w:themeColor="text1"/>
          <w14:textFill>
            <w14:solidFill>
              <w14:schemeClr w14:val="tx1"/>
            </w14:solidFill>
          </w14:textFill>
        </w:rPr>
        <w:t>　产品类型</w:t>
      </w:r>
    </w:p>
    <w:p w14:paraId="2E3B566C">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5A/2.5mA 电流互感器：额定一次电流为 5A，额定二次电流为 2.5mA。​</w:t>
      </w:r>
    </w:p>
    <w:p w14:paraId="52078C67">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2mA/2mA </w:t>
      </w:r>
      <w:r>
        <w:rPr>
          <w:rFonts w:hint="eastAsia"/>
          <w:color w:val="000000" w:themeColor="text1"/>
          <w14:textFill>
            <w14:solidFill>
              <w14:schemeClr w14:val="tx1"/>
            </w14:solidFill>
          </w14:textFill>
        </w:rPr>
        <w:t>电流型电压</w:t>
      </w:r>
      <w:r>
        <w:rPr>
          <w:color w:val="000000" w:themeColor="text1"/>
          <w14:textFill>
            <w14:solidFill>
              <w14:schemeClr w14:val="tx1"/>
            </w14:solidFill>
          </w14:textFill>
        </w:rPr>
        <w:t>互感器：额定一次电流和二次电流均为 2mA。</w:t>
      </w:r>
    </w:p>
    <w:p w14:paraId="68760F7F">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100A/7.07V </w:t>
      </w:r>
      <w:r>
        <w:rPr>
          <w:rFonts w:hint="eastAsia"/>
          <w:color w:val="000000" w:themeColor="text1"/>
          <w14:textFill>
            <w14:solidFill>
              <w14:schemeClr w14:val="tx1"/>
            </w14:solidFill>
          </w14:textFill>
        </w:rPr>
        <w:t>电压输出型电流变换器</w:t>
      </w:r>
      <w:r>
        <w:rPr>
          <w:color w:val="000000" w:themeColor="text1"/>
          <w14:textFill>
            <w14:solidFill>
              <w14:schemeClr w14:val="tx1"/>
            </w14:solidFill>
          </w14:textFill>
        </w:rPr>
        <w:t>：额定一次电流为 100A，二次输出电压为 7.07V。</w:t>
      </w:r>
    </w:p>
    <w:p w14:paraId="79B8DBD7">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5A/3.53V </w:t>
      </w:r>
      <w:r>
        <w:rPr>
          <w:rFonts w:hint="eastAsia"/>
          <w:color w:val="000000" w:themeColor="text1"/>
          <w14:textFill>
            <w14:solidFill>
              <w14:schemeClr w14:val="tx1"/>
            </w14:solidFill>
          </w14:textFill>
        </w:rPr>
        <w:t>电压输出型电流变换器</w:t>
      </w:r>
      <w:r>
        <w:rPr>
          <w:color w:val="000000" w:themeColor="text1"/>
          <w14:textFill>
            <w14:solidFill>
              <w14:schemeClr w14:val="tx1"/>
            </w14:solidFill>
          </w14:textFill>
        </w:rPr>
        <w:t>：额定一次电流为 5A，二次输出电压为 3.53V​</w:t>
      </w:r>
    </w:p>
    <w:p w14:paraId="45D22F72">
      <w:pPr>
        <w:shd w:val="clear" w:color="auto" w:fill="FFFFFF" w:themeFill="background1"/>
        <w:ind w:left="840" w:hanging="420"/>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color w:val="000000" w:themeColor="text1"/>
          <w14:textFill>
            <w14:solidFill>
              <w14:schemeClr w14:val="tx1"/>
            </w14:solidFill>
          </w14:textFill>
        </w:rPr>
        <w:t>120V/7.07V 电压互感器：额定一次电压为 120V，额定二次电压为 7.07V。</w:t>
      </w:r>
    </w:p>
    <w:p w14:paraId="0C99E7A4">
      <w:pPr>
        <w:pStyle w:val="60"/>
        <w:shd w:val="clear" w:color="auto" w:fill="FFFFFF" w:themeFill="background1"/>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spacing w:val="20"/>
          <w14:textFill>
            <w14:solidFill>
              <w14:schemeClr w14:val="tx1"/>
            </w14:solidFill>
          </w14:textFill>
        </w:rPr>
        <w:t>.</w:t>
      </w:r>
      <w:r>
        <w:rPr>
          <w:rFonts w:hint="eastAsia"/>
          <w:color w:val="000000" w:themeColor="text1"/>
          <w14:textFill>
            <w14:solidFill>
              <w14:schemeClr w14:val="tx1"/>
            </w14:solidFill>
          </w14:textFill>
        </w:rPr>
        <w:t>4  技术要求</w:t>
      </w:r>
    </w:p>
    <w:tbl>
      <w:tblPr>
        <w:tblStyle w:val="39"/>
        <w:tblpPr w:leftFromText="180" w:rightFromText="180" w:vertAnchor="text" w:horzAnchor="page" w:tblpXSpec="center" w:tblpY="29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858"/>
        <w:gridCol w:w="1266"/>
        <w:gridCol w:w="1042"/>
        <w:gridCol w:w="686"/>
        <w:gridCol w:w="989"/>
        <w:gridCol w:w="838"/>
        <w:gridCol w:w="846"/>
        <w:gridCol w:w="1008"/>
        <w:gridCol w:w="989"/>
      </w:tblGrid>
      <w:tr w14:paraId="59E1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tcPr>
          <w:p w14:paraId="19DC9599">
            <w:pPr>
              <w:widowControl/>
              <w:shd w:val="clear" w:color="auto" w:fill="FFFFFF" w:themeFill="background1"/>
              <w:jc w:val="left"/>
              <w:textAlignment w:val="bottom"/>
              <w:rPr>
                <w:rFonts w:hint="eastAsia" w:ascii="宋体" w:hAnsi="宋体" w:cs="宋体"/>
                <w:szCs w:val="21"/>
              </w:rPr>
            </w:pPr>
            <w:r>
              <w:rPr>
                <w:rFonts w:hint="eastAsia" w:ascii="宋体" w:hAnsi="宋体" w:cs="宋体"/>
                <w:szCs w:val="21"/>
              </w:rPr>
              <w:t>名称</w:t>
            </w:r>
          </w:p>
        </w:tc>
        <w:tc>
          <w:tcPr>
            <w:tcW w:w="0" w:type="auto"/>
            <w:shd w:val="clear" w:color="auto" w:fill="FFFFFF" w:themeFill="background1"/>
          </w:tcPr>
          <w:p w14:paraId="57A7F048">
            <w:pPr>
              <w:widowControl/>
              <w:shd w:val="clear" w:color="auto" w:fill="FFFFFF" w:themeFill="background1"/>
              <w:jc w:val="left"/>
              <w:textAlignment w:val="bottom"/>
              <w:rPr>
                <w:rFonts w:hint="eastAsia" w:ascii="宋体" w:hAnsi="宋体" w:cs="宋体"/>
                <w:szCs w:val="21"/>
              </w:rPr>
            </w:pPr>
            <w:r>
              <w:rPr>
                <w:rFonts w:hint="eastAsia" w:ascii="宋体" w:hAnsi="宋体" w:cs="宋体"/>
                <w:kern w:val="0"/>
                <w:szCs w:val="21"/>
                <w:lang w:bidi="ar"/>
              </w:rPr>
              <w:t>规格</w:t>
            </w:r>
          </w:p>
        </w:tc>
        <w:tc>
          <w:tcPr>
            <w:tcW w:w="0" w:type="auto"/>
            <w:shd w:val="clear" w:color="auto" w:fill="FFFFFF" w:themeFill="background1"/>
          </w:tcPr>
          <w:p w14:paraId="654D0D8D">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过载</w:t>
            </w:r>
          </w:p>
        </w:tc>
        <w:tc>
          <w:tcPr>
            <w:tcW w:w="0" w:type="auto"/>
            <w:shd w:val="clear" w:color="auto" w:fill="FFFFFF" w:themeFill="background1"/>
          </w:tcPr>
          <w:p w14:paraId="2849209B">
            <w:pPr>
              <w:widowControl/>
              <w:shd w:val="clear" w:color="auto" w:fill="FFFFFF" w:themeFill="background1"/>
              <w:jc w:val="left"/>
              <w:textAlignment w:val="bottom"/>
              <w:rPr>
                <w:rFonts w:hint="eastAsia" w:ascii="宋体" w:hAnsi="宋体" w:cs="宋体"/>
                <w:szCs w:val="21"/>
              </w:rPr>
            </w:pPr>
            <w:r>
              <w:rPr>
                <w:rFonts w:hint="eastAsia" w:ascii="宋体" w:hAnsi="宋体" w:cs="宋体"/>
                <w:kern w:val="0"/>
                <w:szCs w:val="21"/>
                <w:lang w:bidi="ar"/>
              </w:rPr>
              <w:t>精度等级</w:t>
            </w:r>
          </w:p>
        </w:tc>
        <w:tc>
          <w:tcPr>
            <w:tcW w:w="0" w:type="auto"/>
            <w:shd w:val="clear" w:color="auto" w:fill="FFFFFF" w:themeFill="background1"/>
          </w:tcPr>
          <w:p w14:paraId="31EE82D7">
            <w:pPr>
              <w:widowControl/>
              <w:shd w:val="clear" w:color="auto" w:fill="FFFFFF" w:themeFill="background1"/>
              <w:jc w:val="left"/>
              <w:textAlignment w:val="bottom"/>
              <w:rPr>
                <w:rFonts w:hint="eastAsia" w:ascii="宋体" w:hAnsi="宋体" w:cs="宋体"/>
                <w:szCs w:val="21"/>
              </w:rPr>
            </w:pPr>
            <w:r>
              <w:rPr>
                <w:rFonts w:hint="eastAsia" w:ascii="宋体" w:hAnsi="宋体" w:cs="宋体"/>
                <w:kern w:val="0"/>
                <w:szCs w:val="21"/>
                <w:lang w:bidi="ar"/>
              </w:rPr>
              <w:t>功率消耗（VA)</w:t>
            </w:r>
          </w:p>
        </w:tc>
        <w:tc>
          <w:tcPr>
            <w:tcW w:w="0" w:type="auto"/>
            <w:shd w:val="clear" w:color="auto" w:fill="FFFFFF" w:themeFill="background1"/>
          </w:tcPr>
          <w:p w14:paraId="1E40F1EE">
            <w:pPr>
              <w:widowControl/>
              <w:jc w:val="left"/>
            </w:pPr>
            <w:r>
              <w:rPr>
                <w:rFonts w:hint="eastAsia" w:ascii="宋体" w:hAnsi="宋体" w:cs="宋体"/>
                <w:kern w:val="0"/>
                <w:sz w:val="24"/>
                <w:lang w:bidi="ar"/>
              </w:rPr>
              <w:t>工作频率</w:t>
            </w:r>
          </w:p>
        </w:tc>
        <w:tc>
          <w:tcPr>
            <w:tcW w:w="0" w:type="auto"/>
            <w:shd w:val="clear" w:color="auto" w:fill="FFFFFF" w:themeFill="background1"/>
          </w:tcPr>
          <w:p w14:paraId="5F59B092">
            <w:pPr>
              <w:widowControl/>
              <w:jc w:val="left"/>
              <w:rPr>
                <w:rFonts w:hint="eastAsia" w:ascii="宋体" w:hAnsi="宋体" w:cs="宋体"/>
                <w:szCs w:val="21"/>
              </w:rPr>
            </w:pPr>
            <w:r>
              <w:rPr>
                <w:rFonts w:hint="eastAsia" w:ascii="宋体" w:hAnsi="宋体" w:cs="宋体"/>
                <w:kern w:val="0"/>
                <w:szCs w:val="21"/>
                <w:lang w:bidi="ar"/>
              </w:rPr>
              <w:t>角差</w:t>
            </w:r>
          </w:p>
          <w:p w14:paraId="2189339C">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（分）</w:t>
            </w:r>
          </w:p>
        </w:tc>
        <w:tc>
          <w:tcPr>
            <w:tcW w:w="0" w:type="auto"/>
            <w:shd w:val="clear" w:color="auto" w:fill="FFFFFF" w:themeFill="background1"/>
          </w:tcPr>
          <w:p w14:paraId="3B66FC31">
            <w:pPr>
              <w:widowControl/>
              <w:jc w:val="left"/>
              <w:rPr>
                <w:rFonts w:hint="eastAsia" w:ascii="宋体" w:hAnsi="宋体" w:cs="宋体"/>
                <w:szCs w:val="21"/>
              </w:rPr>
            </w:pPr>
            <w:r>
              <w:rPr>
                <w:rFonts w:hint="eastAsia" w:ascii="宋体" w:hAnsi="宋体" w:cs="宋体"/>
                <w:kern w:val="0"/>
                <w:szCs w:val="21"/>
                <w:lang w:bidi="ar"/>
              </w:rPr>
              <w:t>负载电阻</w:t>
            </w:r>
          </w:p>
        </w:tc>
        <w:tc>
          <w:tcPr>
            <w:tcW w:w="0" w:type="auto"/>
            <w:shd w:val="clear" w:color="auto" w:fill="FFFFFF" w:themeFill="background1"/>
          </w:tcPr>
          <w:p w14:paraId="540F2EA4">
            <w:pPr>
              <w:widowControl/>
              <w:jc w:val="left"/>
              <w:rPr>
                <w:rFonts w:hint="eastAsia" w:ascii="宋体" w:hAnsi="宋体" w:cs="宋体"/>
                <w:szCs w:val="21"/>
              </w:rPr>
            </w:pPr>
            <w:r>
              <w:rPr>
                <w:rFonts w:hint="eastAsia" w:ascii="宋体" w:hAnsi="宋体" w:cs="宋体"/>
                <w:kern w:val="0"/>
                <w:szCs w:val="21"/>
                <w:lang w:bidi="ar"/>
              </w:rPr>
              <w:t>工频耐压（V）</w:t>
            </w:r>
          </w:p>
        </w:tc>
      </w:tr>
      <w:tr w14:paraId="0FCE4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tcPr>
          <w:p w14:paraId="588184CA">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电流互感器</w:t>
            </w:r>
          </w:p>
        </w:tc>
        <w:tc>
          <w:tcPr>
            <w:tcW w:w="0" w:type="auto"/>
            <w:shd w:val="clear" w:color="auto" w:fill="FFFFFF" w:themeFill="background1"/>
          </w:tcPr>
          <w:p w14:paraId="233AF964">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5A/2.5mA</w:t>
            </w:r>
          </w:p>
        </w:tc>
        <w:tc>
          <w:tcPr>
            <w:tcW w:w="0" w:type="auto"/>
            <w:shd w:val="clear" w:color="auto" w:fill="FFFFFF" w:themeFill="background1"/>
          </w:tcPr>
          <w:p w14:paraId="7E7D839F">
            <w:pPr>
              <w:widowControl/>
              <w:jc w:val="left"/>
              <w:rPr>
                <w:rFonts w:hint="eastAsia" w:ascii="宋体" w:hAnsi="宋体" w:cs="宋体"/>
                <w:kern w:val="0"/>
                <w:szCs w:val="21"/>
                <w:lang w:bidi="ar"/>
              </w:rPr>
            </w:pPr>
            <w:r>
              <w:rPr>
                <w:rFonts w:hint="eastAsia" w:ascii="宋体" w:hAnsi="宋体" w:cs="宋体"/>
                <w:kern w:val="0"/>
                <w:szCs w:val="21"/>
                <w:lang w:bidi="ar"/>
              </w:rPr>
              <w:t>20倍过载 5S不损坏</w:t>
            </w:r>
          </w:p>
        </w:tc>
        <w:tc>
          <w:tcPr>
            <w:tcW w:w="0" w:type="auto"/>
            <w:shd w:val="clear" w:color="auto" w:fill="FFFFFF" w:themeFill="background1"/>
          </w:tcPr>
          <w:p w14:paraId="287D6410">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0.2</w:t>
            </w:r>
          </w:p>
        </w:tc>
        <w:tc>
          <w:tcPr>
            <w:tcW w:w="0" w:type="auto"/>
            <w:shd w:val="clear" w:color="auto" w:fill="FFFFFF" w:themeFill="background1"/>
          </w:tcPr>
          <w:p w14:paraId="60576E54">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≤0.5</w:t>
            </w:r>
          </w:p>
        </w:tc>
        <w:tc>
          <w:tcPr>
            <w:tcW w:w="0" w:type="auto"/>
            <w:shd w:val="clear" w:color="auto" w:fill="FFFFFF" w:themeFill="background1"/>
          </w:tcPr>
          <w:p w14:paraId="0B365FD6">
            <w:pPr>
              <w:widowControl/>
              <w:jc w:val="left"/>
              <w:rPr>
                <w:rFonts w:hint="eastAsia" w:ascii="宋体" w:hAnsi="宋体" w:cs="宋体"/>
                <w:kern w:val="0"/>
                <w:szCs w:val="21"/>
                <w:lang w:bidi="ar"/>
              </w:rPr>
            </w:pPr>
            <w:r>
              <w:rPr>
                <w:rFonts w:hint="eastAsia" w:ascii="宋体" w:hAnsi="宋体" w:cs="宋体"/>
                <w:kern w:val="0"/>
                <w:sz w:val="24"/>
                <w:lang w:bidi="ar"/>
              </w:rPr>
              <w:t>50Hz</w:t>
            </w:r>
          </w:p>
        </w:tc>
        <w:tc>
          <w:tcPr>
            <w:tcW w:w="0" w:type="auto"/>
            <w:shd w:val="clear" w:color="auto" w:fill="FFFFFF" w:themeFill="background1"/>
          </w:tcPr>
          <w:p w14:paraId="6D29EB4E">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≤10</w:t>
            </w:r>
          </w:p>
        </w:tc>
        <w:tc>
          <w:tcPr>
            <w:tcW w:w="0" w:type="auto"/>
            <w:shd w:val="clear" w:color="auto" w:fill="FFFFFF" w:themeFill="background1"/>
          </w:tcPr>
          <w:p w14:paraId="4EFB939F">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≤80欧</w:t>
            </w:r>
          </w:p>
        </w:tc>
        <w:tc>
          <w:tcPr>
            <w:tcW w:w="0" w:type="auto"/>
            <w:shd w:val="clear" w:color="auto" w:fill="FFFFFF" w:themeFill="background1"/>
          </w:tcPr>
          <w:p w14:paraId="39C83B8C">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≥3000</w:t>
            </w:r>
          </w:p>
        </w:tc>
      </w:tr>
      <w:tr w14:paraId="2AAF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tcPr>
          <w:p w14:paraId="70EBBFFA">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电流型电压互感器</w:t>
            </w:r>
          </w:p>
        </w:tc>
        <w:tc>
          <w:tcPr>
            <w:tcW w:w="0" w:type="auto"/>
            <w:shd w:val="clear" w:color="auto" w:fill="FFFFFF" w:themeFill="background1"/>
          </w:tcPr>
          <w:p w14:paraId="2F51D5A2">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2mA/2mA</w:t>
            </w:r>
          </w:p>
        </w:tc>
        <w:tc>
          <w:tcPr>
            <w:tcW w:w="0" w:type="auto"/>
            <w:shd w:val="clear" w:color="auto" w:fill="FFFFFF" w:themeFill="background1"/>
          </w:tcPr>
          <w:p w14:paraId="4ADF74DC">
            <w:pPr>
              <w:widowControl/>
              <w:jc w:val="left"/>
              <w:rPr>
                <w:rFonts w:hint="eastAsia" w:ascii="宋体" w:hAnsi="宋体" w:cs="宋体"/>
                <w:szCs w:val="21"/>
              </w:rPr>
            </w:pPr>
            <w:r>
              <w:rPr>
                <w:rFonts w:hint="eastAsia" w:ascii="宋体" w:hAnsi="宋体" w:cs="宋体"/>
                <w:kern w:val="0"/>
                <w:szCs w:val="21"/>
                <w:lang w:bidi="ar"/>
              </w:rPr>
              <w:t>5倍长期工作</w:t>
            </w:r>
          </w:p>
        </w:tc>
        <w:tc>
          <w:tcPr>
            <w:tcW w:w="0" w:type="auto"/>
            <w:shd w:val="clear" w:color="auto" w:fill="FFFFFF" w:themeFill="background1"/>
          </w:tcPr>
          <w:p w14:paraId="48C66EE5">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0.2</w:t>
            </w:r>
          </w:p>
        </w:tc>
        <w:tc>
          <w:tcPr>
            <w:tcW w:w="0" w:type="auto"/>
            <w:shd w:val="clear" w:color="auto" w:fill="FFFFFF" w:themeFill="background1"/>
          </w:tcPr>
          <w:p w14:paraId="384799FC">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≤0.5</w:t>
            </w:r>
          </w:p>
        </w:tc>
        <w:tc>
          <w:tcPr>
            <w:tcW w:w="0" w:type="auto"/>
            <w:shd w:val="clear" w:color="auto" w:fill="FFFFFF" w:themeFill="background1"/>
          </w:tcPr>
          <w:p w14:paraId="4C7202F7">
            <w:pPr>
              <w:widowControl/>
              <w:jc w:val="left"/>
              <w:rPr>
                <w:rFonts w:hint="eastAsia" w:ascii="宋体" w:hAnsi="宋体" w:cs="宋体"/>
                <w:kern w:val="0"/>
                <w:szCs w:val="21"/>
                <w:lang w:bidi="ar"/>
              </w:rPr>
            </w:pPr>
            <w:r>
              <w:rPr>
                <w:rFonts w:hint="eastAsia" w:ascii="宋体" w:hAnsi="宋体" w:cs="宋体"/>
                <w:kern w:val="0"/>
                <w:sz w:val="24"/>
                <w:lang w:bidi="ar"/>
              </w:rPr>
              <w:t>50Hz</w:t>
            </w:r>
          </w:p>
        </w:tc>
        <w:tc>
          <w:tcPr>
            <w:tcW w:w="0" w:type="auto"/>
            <w:shd w:val="clear" w:color="auto" w:fill="FFFFFF" w:themeFill="background1"/>
          </w:tcPr>
          <w:p w14:paraId="264A83DB">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≤15</w:t>
            </w:r>
          </w:p>
        </w:tc>
        <w:tc>
          <w:tcPr>
            <w:tcW w:w="0" w:type="auto"/>
            <w:shd w:val="clear" w:color="auto" w:fill="FFFFFF" w:themeFill="background1"/>
          </w:tcPr>
          <w:p w14:paraId="6729460C">
            <w:pPr>
              <w:widowControl/>
              <w:shd w:val="clear" w:color="auto" w:fill="FFFFFF" w:themeFill="background1"/>
              <w:jc w:val="left"/>
              <w:textAlignment w:val="bottom"/>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≤200欧（保护）</w:t>
            </w:r>
          </w:p>
          <w:p w14:paraId="4E4D049C">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color w:val="FF0000"/>
                <w:kern w:val="0"/>
                <w:sz w:val="18"/>
                <w:szCs w:val="18"/>
                <w:lang w:bidi="ar"/>
              </w:rPr>
              <w:t>≤50欧（表）</w:t>
            </w:r>
          </w:p>
        </w:tc>
        <w:tc>
          <w:tcPr>
            <w:tcW w:w="0" w:type="auto"/>
            <w:shd w:val="clear" w:color="auto" w:fill="FFFFFF" w:themeFill="background1"/>
          </w:tcPr>
          <w:p w14:paraId="10F3B6B6">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≥3000</w:t>
            </w:r>
          </w:p>
        </w:tc>
      </w:tr>
      <w:tr w14:paraId="5121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tcPr>
          <w:p w14:paraId="4FA73459">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电压型电流互感器</w:t>
            </w:r>
          </w:p>
        </w:tc>
        <w:tc>
          <w:tcPr>
            <w:tcW w:w="0" w:type="auto"/>
            <w:shd w:val="clear" w:color="auto" w:fill="FFFFFF" w:themeFill="background1"/>
          </w:tcPr>
          <w:p w14:paraId="1A10B63C">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100A/7.07V</w:t>
            </w:r>
          </w:p>
        </w:tc>
        <w:tc>
          <w:tcPr>
            <w:tcW w:w="0" w:type="auto"/>
            <w:shd w:val="clear" w:color="auto" w:fill="FFFFFF" w:themeFill="background1"/>
          </w:tcPr>
          <w:p w14:paraId="07EFAC07">
            <w:pPr>
              <w:widowControl/>
              <w:jc w:val="left"/>
              <w:rPr>
                <w:rFonts w:hint="eastAsia" w:ascii="宋体" w:hAnsi="宋体" w:cs="宋体"/>
                <w:szCs w:val="21"/>
              </w:rPr>
            </w:pPr>
            <w:r>
              <w:rPr>
                <w:rFonts w:hint="eastAsia" w:ascii="宋体" w:hAnsi="宋体" w:cs="宋体"/>
                <w:kern w:val="0"/>
                <w:szCs w:val="21"/>
                <w:lang w:bidi="ar"/>
              </w:rPr>
              <w:t>20倍过载 1 秒不损坏</w:t>
            </w:r>
          </w:p>
        </w:tc>
        <w:tc>
          <w:tcPr>
            <w:tcW w:w="0" w:type="auto"/>
            <w:shd w:val="clear" w:color="auto" w:fill="FFFFFF" w:themeFill="background1"/>
          </w:tcPr>
          <w:p w14:paraId="0DA06DFF">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0.2</w:t>
            </w:r>
          </w:p>
        </w:tc>
        <w:tc>
          <w:tcPr>
            <w:tcW w:w="0" w:type="auto"/>
            <w:shd w:val="clear" w:color="auto" w:fill="FFFFFF" w:themeFill="background1"/>
          </w:tcPr>
          <w:p w14:paraId="136F9C2D">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≤0.5</w:t>
            </w:r>
          </w:p>
        </w:tc>
        <w:tc>
          <w:tcPr>
            <w:tcW w:w="0" w:type="auto"/>
            <w:shd w:val="clear" w:color="auto" w:fill="FFFFFF" w:themeFill="background1"/>
          </w:tcPr>
          <w:p w14:paraId="23E33FE6">
            <w:pPr>
              <w:widowControl/>
              <w:jc w:val="left"/>
              <w:rPr>
                <w:rFonts w:hint="eastAsia" w:ascii="宋体" w:hAnsi="宋体" w:cs="宋体"/>
                <w:kern w:val="0"/>
                <w:szCs w:val="21"/>
                <w:lang w:bidi="ar"/>
              </w:rPr>
            </w:pPr>
            <w:r>
              <w:rPr>
                <w:rFonts w:hint="eastAsia" w:ascii="宋体" w:hAnsi="宋体" w:cs="宋体"/>
                <w:kern w:val="0"/>
                <w:sz w:val="24"/>
                <w:lang w:bidi="ar"/>
              </w:rPr>
              <w:t>50Hz</w:t>
            </w:r>
          </w:p>
        </w:tc>
        <w:tc>
          <w:tcPr>
            <w:tcW w:w="0" w:type="auto"/>
            <w:shd w:val="clear" w:color="auto" w:fill="FFFFFF" w:themeFill="background1"/>
          </w:tcPr>
          <w:p w14:paraId="0AD6DCA1">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≤10</w:t>
            </w:r>
          </w:p>
        </w:tc>
        <w:tc>
          <w:tcPr>
            <w:tcW w:w="0" w:type="auto"/>
            <w:shd w:val="clear" w:color="auto" w:fill="FFFFFF" w:themeFill="background1"/>
          </w:tcPr>
          <w:p w14:paraId="1C07C58E">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＞100 千欧</w:t>
            </w:r>
          </w:p>
        </w:tc>
        <w:tc>
          <w:tcPr>
            <w:tcW w:w="0" w:type="auto"/>
            <w:shd w:val="clear" w:color="auto" w:fill="FFFFFF" w:themeFill="background1"/>
          </w:tcPr>
          <w:p w14:paraId="39EB1294">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≥3000</w:t>
            </w:r>
          </w:p>
        </w:tc>
      </w:tr>
      <w:tr w14:paraId="2712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tcPr>
          <w:p w14:paraId="77D4443C">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电压型电流互感器</w:t>
            </w:r>
          </w:p>
        </w:tc>
        <w:tc>
          <w:tcPr>
            <w:tcW w:w="0" w:type="auto"/>
            <w:shd w:val="clear" w:color="auto" w:fill="FFFFFF" w:themeFill="background1"/>
          </w:tcPr>
          <w:p w14:paraId="2869E7D8">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5A/3.53V</w:t>
            </w:r>
          </w:p>
        </w:tc>
        <w:tc>
          <w:tcPr>
            <w:tcW w:w="0" w:type="auto"/>
            <w:shd w:val="clear" w:color="auto" w:fill="FFFFFF" w:themeFill="background1"/>
          </w:tcPr>
          <w:p w14:paraId="2D5D2179">
            <w:pPr>
              <w:widowControl/>
              <w:jc w:val="left"/>
              <w:rPr>
                <w:rFonts w:hint="eastAsia" w:ascii="宋体" w:hAnsi="宋体" w:cs="宋体"/>
                <w:kern w:val="0"/>
                <w:szCs w:val="21"/>
                <w:lang w:bidi="ar"/>
              </w:rPr>
            </w:pPr>
            <w:r>
              <w:rPr>
                <w:rFonts w:hint="eastAsia" w:ascii="宋体" w:hAnsi="宋体" w:cs="宋体"/>
                <w:kern w:val="0"/>
                <w:szCs w:val="21"/>
                <w:lang w:bidi="ar"/>
              </w:rPr>
              <w:t>2倍长期工作</w:t>
            </w:r>
          </w:p>
        </w:tc>
        <w:tc>
          <w:tcPr>
            <w:tcW w:w="0" w:type="auto"/>
            <w:shd w:val="clear" w:color="auto" w:fill="FFFFFF" w:themeFill="background1"/>
          </w:tcPr>
          <w:p w14:paraId="4ABB0E24">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0.2</w:t>
            </w:r>
          </w:p>
        </w:tc>
        <w:tc>
          <w:tcPr>
            <w:tcW w:w="0" w:type="auto"/>
            <w:shd w:val="clear" w:color="auto" w:fill="FFFFFF" w:themeFill="background1"/>
          </w:tcPr>
          <w:p w14:paraId="43769D2B">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≤0.5</w:t>
            </w:r>
          </w:p>
        </w:tc>
        <w:tc>
          <w:tcPr>
            <w:tcW w:w="0" w:type="auto"/>
            <w:shd w:val="clear" w:color="auto" w:fill="FFFFFF" w:themeFill="background1"/>
          </w:tcPr>
          <w:p w14:paraId="071BDCD6">
            <w:pPr>
              <w:widowControl/>
              <w:jc w:val="left"/>
              <w:rPr>
                <w:rFonts w:hint="eastAsia" w:ascii="宋体" w:hAnsi="宋体" w:cs="宋体"/>
                <w:kern w:val="0"/>
                <w:szCs w:val="21"/>
                <w:lang w:bidi="ar"/>
              </w:rPr>
            </w:pPr>
            <w:r>
              <w:rPr>
                <w:rFonts w:hint="eastAsia" w:ascii="宋体" w:hAnsi="宋体" w:cs="宋体"/>
                <w:kern w:val="0"/>
                <w:sz w:val="24"/>
                <w:lang w:bidi="ar"/>
              </w:rPr>
              <w:t>50Hz</w:t>
            </w:r>
          </w:p>
        </w:tc>
        <w:tc>
          <w:tcPr>
            <w:tcW w:w="0" w:type="auto"/>
            <w:shd w:val="clear" w:color="auto" w:fill="FFFFFF" w:themeFill="background1"/>
          </w:tcPr>
          <w:p w14:paraId="5793C866">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≤5</w:t>
            </w:r>
          </w:p>
        </w:tc>
        <w:tc>
          <w:tcPr>
            <w:tcW w:w="0" w:type="auto"/>
            <w:shd w:val="clear" w:color="auto" w:fill="FFFFFF" w:themeFill="background1"/>
          </w:tcPr>
          <w:p w14:paraId="0184EDE5">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＞100 千欧</w:t>
            </w:r>
          </w:p>
        </w:tc>
        <w:tc>
          <w:tcPr>
            <w:tcW w:w="0" w:type="auto"/>
            <w:shd w:val="clear" w:color="auto" w:fill="FFFFFF" w:themeFill="background1"/>
          </w:tcPr>
          <w:p w14:paraId="13081266">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≥3000</w:t>
            </w:r>
          </w:p>
        </w:tc>
      </w:tr>
      <w:tr w14:paraId="2DB7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tcPr>
          <w:p w14:paraId="75D34FD4">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电压互感器</w:t>
            </w:r>
          </w:p>
        </w:tc>
        <w:tc>
          <w:tcPr>
            <w:tcW w:w="0" w:type="auto"/>
            <w:shd w:val="clear" w:color="auto" w:fill="FFFFFF" w:themeFill="background1"/>
          </w:tcPr>
          <w:p w14:paraId="5A693572">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120V/7.07V</w:t>
            </w:r>
          </w:p>
        </w:tc>
        <w:tc>
          <w:tcPr>
            <w:tcW w:w="0" w:type="auto"/>
            <w:shd w:val="clear" w:color="auto" w:fill="FFFFFF" w:themeFill="background1"/>
          </w:tcPr>
          <w:p w14:paraId="25EC98FD">
            <w:pPr>
              <w:widowControl/>
              <w:jc w:val="left"/>
              <w:rPr>
                <w:rFonts w:hint="eastAsia" w:ascii="宋体" w:hAnsi="宋体" w:cs="宋体"/>
                <w:szCs w:val="21"/>
              </w:rPr>
            </w:pPr>
            <w:r>
              <w:rPr>
                <w:rFonts w:hint="eastAsia" w:ascii="宋体" w:hAnsi="宋体" w:cs="宋体"/>
                <w:kern w:val="0"/>
                <w:szCs w:val="21"/>
                <w:lang w:bidi="ar"/>
              </w:rPr>
              <w:t>1.2倍长期工作</w:t>
            </w:r>
          </w:p>
        </w:tc>
        <w:tc>
          <w:tcPr>
            <w:tcW w:w="0" w:type="auto"/>
            <w:shd w:val="clear" w:color="auto" w:fill="FFFFFF" w:themeFill="background1"/>
          </w:tcPr>
          <w:p w14:paraId="7C0C46BC">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0.2</w:t>
            </w:r>
          </w:p>
        </w:tc>
        <w:tc>
          <w:tcPr>
            <w:tcW w:w="0" w:type="auto"/>
            <w:shd w:val="clear" w:color="auto" w:fill="FFFFFF" w:themeFill="background1"/>
          </w:tcPr>
          <w:p w14:paraId="28E443F5">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≤0.5</w:t>
            </w:r>
          </w:p>
        </w:tc>
        <w:tc>
          <w:tcPr>
            <w:tcW w:w="0" w:type="auto"/>
            <w:shd w:val="clear" w:color="auto" w:fill="FFFFFF" w:themeFill="background1"/>
          </w:tcPr>
          <w:p w14:paraId="719A69D9">
            <w:pPr>
              <w:widowControl/>
              <w:jc w:val="left"/>
              <w:rPr>
                <w:rFonts w:hint="eastAsia" w:ascii="宋体" w:hAnsi="宋体" w:cs="宋体"/>
                <w:kern w:val="0"/>
                <w:szCs w:val="21"/>
                <w:lang w:bidi="ar"/>
              </w:rPr>
            </w:pPr>
            <w:r>
              <w:rPr>
                <w:rFonts w:hint="eastAsia" w:ascii="宋体" w:hAnsi="宋体" w:cs="宋体"/>
                <w:kern w:val="0"/>
                <w:sz w:val="24"/>
                <w:lang w:bidi="ar"/>
              </w:rPr>
              <w:t>50Hz</w:t>
            </w:r>
          </w:p>
        </w:tc>
        <w:tc>
          <w:tcPr>
            <w:tcW w:w="0" w:type="auto"/>
            <w:shd w:val="clear" w:color="auto" w:fill="FFFFFF" w:themeFill="background1"/>
          </w:tcPr>
          <w:p w14:paraId="3413F788">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≤10</w:t>
            </w:r>
          </w:p>
        </w:tc>
        <w:tc>
          <w:tcPr>
            <w:tcW w:w="0" w:type="auto"/>
            <w:shd w:val="clear" w:color="auto" w:fill="FFFFFF" w:themeFill="background1"/>
          </w:tcPr>
          <w:p w14:paraId="7432C9DA">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＞5 千欧</w:t>
            </w:r>
          </w:p>
        </w:tc>
        <w:tc>
          <w:tcPr>
            <w:tcW w:w="0" w:type="auto"/>
            <w:shd w:val="clear" w:color="auto" w:fill="FFFFFF" w:themeFill="background1"/>
          </w:tcPr>
          <w:p w14:paraId="5A54A1A8">
            <w:pPr>
              <w:widowControl/>
              <w:shd w:val="clear" w:color="auto" w:fill="FFFFFF" w:themeFill="background1"/>
              <w:jc w:val="left"/>
              <w:textAlignment w:val="bottom"/>
              <w:rPr>
                <w:rFonts w:hint="eastAsia" w:ascii="宋体" w:hAnsi="宋体" w:cs="宋体"/>
                <w:kern w:val="0"/>
                <w:szCs w:val="21"/>
                <w:lang w:bidi="ar"/>
              </w:rPr>
            </w:pPr>
            <w:r>
              <w:rPr>
                <w:rFonts w:hint="eastAsia" w:ascii="宋体" w:hAnsi="宋体" w:cs="宋体"/>
                <w:kern w:val="0"/>
                <w:szCs w:val="21"/>
                <w:lang w:bidi="ar"/>
              </w:rPr>
              <w:t>≥3000</w:t>
            </w:r>
          </w:p>
        </w:tc>
      </w:tr>
    </w:tbl>
    <w:p w14:paraId="343C0B78">
      <w:pPr>
        <w:shd w:val="clear" w:color="auto" w:fill="FFFFFF" w:themeFill="background1"/>
        <w:ind w:left="840" w:hanging="420"/>
        <w:rPr>
          <w:color w:val="000000" w:themeColor="text1"/>
          <w14:textFill>
            <w14:solidFill>
              <w14:schemeClr w14:val="tx1"/>
            </w14:solidFill>
          </w14:textFill>
        </w:rPr>
      </w:pPr>
      <w:bookmarkStart w:id="8" w:name="_Toc327986882"/>
      <w:r>
        <w:rPr>
          <w:rFonts w:hint="eastAsia"/>
          <w:color w:val="000000" w:themeColor="text1"/>
          <w14:textFill>
            <w14:solidFill>
              <w14:schemeClr w14:val="tx1"/>
            </w14:solidFill>
          </w14:textFill>
        </w:rPr>
        <w:t>　</w:t>
      </w:r>
      <w:bookmarkEnd w:id="8"/>
      <w:bookmarkStart w:id="9" w:name="_Toc358552337"/>
      <w:bookmarkStart w:id="10" w:name="_Toc358552375"/>
      <w:bookmarkStart w:id="11" w:name="_Toc363381650"/>
      <w:bookmarkStart w:id="12" w:name="_Toc363243289"/>
      <w:bookmarkStart w:id="13" w:name="_Toc363387107"/>
    </w:p>
    <w:p w14:paraId="7C5B6EEF">
      <w:pPr>
        <w:pStyle w:val="60"/>
        <w:shd w:val="clear" w:color="auto" w:fill="FFFFFF" w:themeFill="background1"/>
        <w:rPr>
          <w:color w:val="000000" w:themeColor="text1"/>
          <w14:textFill>
            <w14:solidFill>
              <w14:schemeClr w14:val="tx1"/>
            </w14:solidFill>
          </w14:textFill>
        </w:rPr>
      </w:pPr>
      <w:r>
        <w:rPr>
          <w:rFonts w:hint="eastAsia"/>
          <w:color w:val="000000" w:themeColor="text1"/>
          <w14:textFill>
            <w14:solidFill>
              <w14:schemeClr w14:val="tx1"/>
            </w14:solidFill>
          </w14:textFill>
        </w:rPr>
        <w:t>5.5外观结构</w:t>
      </w:r>
    </w:p>
    <w:p w14:paraId="3448C5D7">
      <w:pPr>
        <w:topLinePunct/>
        <w:spacing w:line="312" w:lineRule="exact"/>
        <w:ind w:firstLine="420"/>
        <w:rPr>
          <w:szCs w:val="21"/>
        </w:rPr>
      </w:pPr>
      <w:r>
        <w:rPr>
          <w:rFonts w:hint="eastAsia"/>
          <w:szCs w:val="21"/>
        </w:rPr>
        <w:t>商标清晰准确；电流规格、标注正确无误；互感器表面无明显不洁物；规格、颜色、位置等均与图纸相符。</w:t>
      </w:r>
    </w:p>
    <w:p w14:paraId="2CED9A60">
      <w:pPr>
        <w:pStyle w:val="60"/>
      </w:pPr>
      <w:r>
        <w:t>5.</w:t>
      </w:r>
      <w:r>
        <w:rPr>
          <w:rFonts w:hint="eastAsia"/>
        </w:rPr>
        <w:t>6　标志、包装、运输</w:t>
      </w:r>
      <w:bookmarkEnd w:id="9"/>
      <w:bookmarkEnd w:id="10"/>
      <w:r>
        <w:rPr>
          <w:rFonts w:hint="eastAsia"/>
        </w:rPr>
        <w:t>、贮存</w:t>
      </w:r>
      <w:bookmarkEnd w:id="11"/>
      <w:bookmarkEnd w:id="12"/>
      <w:bookmarkEnd w:id="13"/>
      <w:r>
        <w:rPr>
          <w:rFonts w:hint="eastAsia"/>
        </w:rPr>
        <w:t>及铭牌</w:t>
      </w:r>
    </w:p>
    <w:p w14:paraId="32482B0B">
      <w:pPr>
        <w:pStyle w:val="60"/>
      </w:pPr>
      <w:bookmarkStart w:id="14" w:name="_Toc363381651"/>
      <w:bookmarkStart w:id="15" w:name="_Toc363243290"/>
      <w:r>
        <w:t>5.</w:t>
      </w:r>
      <w:r>
        <w:rPr>
          <w:rFonts w:hint="eastAsia"/>
        </w:rPr>
        <w:t>6</w:t>
      </w:r>
      <w:r>
        <w:t>.1</w:t>
      </w:r>
      <w:r>
        <w:rPr>
          <w:rFonts w:hint="eastAsia"/>
        </w:rPr>
        <w:t>标志</w:t>
      </w:r>
      <w:bookmarkEnd w:id="14"/>
      <w:bookmarkEnd w:id="15"/>
    </w:p>
    <w:p w14:paraId="15A81A7E">
      <w:pPr>
        <w:topLinePunct/>
        <w:spacing w:line="312" w:lineRule="exact"/>
        <w:ind w:firstLine="420"/>
        <w:rPr>
          <w:szCs w:val="21"/>
        </w:rPr>
      </w:pPr>
      <w:r>
        <w:rPr>
          <w:szCs w:val="21"/>
        </w:rPr>
        <w:t>产品外壳明显位置应标注产品型号、规格、生产厂家、出厂编号、生产日期等信息。</w:t>
      </w:r>
      <w:r>
        <w:rPr>
          <w:rFonts w:hint="eastAsia"/>
          <w:szCs w:val="21"/>
        </w:rPr>
        <w:t>。</w:t>
      </w:r>
    </w:p>
    <w:p w14:paraId="09B31B83">
      <w:pPr>
        <w:topLinePunct/>
        <w:spacing w:line="312" w:lineRule="exact"/>
        <w:ind w:firstLine="420"/>
        <w:rPr>
          <w:szCs w:val="21"/>
        </w:rPr>
      </w:pPr>
      <w:r>
        <w:rPr>
          <w:szCs w:val="21"/>
        </w:rPr>
        <w:t>包装：采用合适的包装材料和方式，确保产品在运输过程中不受损坏，包装内应附带产品合格证、使用说明书等文件。​</w:t>
      </w:r>
    </w:p>
    <w:p w14:paraId="37332A23">
      <w:pPr>
        <w:topLinePunct/>
        <w:spacing w:line="312" w:lineRule="exact"/>
        <w:ind w:firstLine="420"/>
        <w:rPr>
          <w:szCs w:val="21"/>
        </w:rPr>
      </w:pPr>
      <w:r>
        <w:rPr>
          <w:szCs w:val="21"/>
        </w:rPr>
        <w:t>运输：运输过程中应采取防护措施，防止碰撞、受潮等，运输方式应符合相关规定。​</w:t>
      </w:r>
    </w:p>
    <w:p w14:paraId="40E4475F">
      <w:pPr>
        <w:topLinePunct/>
        <w:spacing w:line="312" w:lineRule="exact"/>
        <w:ind w:firstLine="420"/>
        <w:rPr>
          <w:szCs w:val="21"/>
        </w:rPr>
      </w:pPr>
      <w:r>
        <w:rPr>
          <w:szCs w:val="21"/>
        </w:rPr>
        <w:t>贮存：产品应贮存在干燥、通风、无腐蚀性气体的仓库内，贮存温度和湿度符合产品要求。​</w:t>
      </w:r>
    </w:p>
    <w:p w14:paraId="1092EC5E">
      <w:pPr>
        <w:topLinePunct/>
        <w:spacing w:line="312" w:lineRule="exact"/>
        <w:ind w:firstLine="420"/>
        <w:rPr>
          <w:szCs w:val="21"/>
        </w:rPr>
      </w:pPr>
      <w:r>
        <w:rPr>
          <w:szCs w:val="21"/>
        </w:rPr>
        <w:t>铭牌：铭牌应清晰标注产品的主要技术参数，如额定一次电流 / 电压、额定二次电流 / 电压、准确级、额定负荷等。</w:t>
      </w:r>
    </w:p>
    <w:p w14:paraId="5C19C3AD">
      <w:pPr>
        <w:pStyle w:val="61"/>
        <w:shd w:val="clear" w:color="auto" w:fill="FFFFFF" w:themeFill="background1"/>
        <w:outlineLvl w:val="0"/>
        <w:rPr>
          <w:color w:val="000000" w:themeColor="text1"/>
          <w14:textFill>
            <w14:solidFill>
              <w14:schemeClr w14:val="tx1"/>
            </w14:solidFill>
          </w14:textFill>
        </w:rPr>
      </w:pPr>
      <w:bookmarkStart w:id="16" w:name="_Toc192505529"/>
      <w:r>
        <w:rPr>
          <w:rFonts w:hint="eastAsia"/>
          <w:color w:val="000000" w:themeColor="text1"/>
          <w14:textFill>
            <w14:solidFill>
              <w14:schemeClr w14:val="tx1"/>
            </w14:solidFill>
          </w14:textFill>
        </w:rPr>
        <w:t>6 试验</w:t>
      </w:r>
      <w:bookmarkEnd w:id="16"/>
    </w:p>
    <w:p w14:paraId="7564B638">
      <w:pPr>
        <w:topLinePunct/>
        <w:spacing w:line="312" w:lineRule="exact"/>
        <w:ind w:firstLine="420"/>
        <w:rPr>
          <w:szCs w:val="21"/>
        </w:rPr>
      </w:pPr>
      <w:r>
        <w:rPr>
          <w:rFonts w:hint="eastAsia"/>
          <w:szCs w:val="21"/>
        </w:rPr>
        <w:t xml:space="preserve">6.1绝缘强度 </w:t>
      </w:r>
    </w:p>
    <w:p w14:paraId="10DFCCBB">
      <w:pPr>
        <w:topLinePunct/>
        <w:spacing w:line="312" w:lineRule="exact"/>
        <w:ind w:firstLine="420"/>
        <w:rPr>
          <w:szCs w:val="21"/>
        </w:rPr>
      </w:pPr>
      <w:r>
        <w:rPr>
          <w:szCs w:val="21"/>
        </w:rPr>
        <w:t xml:space="preserve">(1) </w:t>
      </w:r>
      <w:r>
        <w:rPr>
          <w:rFonts w:hint="eastAsia"/>
          <w:szCs w:val="21"/>
        </w:rPr>
        <w:t xml:space="preserve">工频绝缘强度 </w:t>
      </w:r>
    </w:p>
    <w:p w14:paraId="4CB41E27">
      <w:pPr>
        <w:topLinePunct/>
        <w:spacing w:line="312" w:lineRule="exact"/>
        <w:ind w:firstLine="420"/>
        <w:rPr>
          <w:szCs w:val="21"/>
        </w:rPr>
      </w:pPr>
      <w:r>
        <w:rPr>
          <w:rFonts w:hint="eastAsia"/>
          <w:szCs w:val="21"/>
        </w:rPr>
        <w:t>一次绕组与二次绕组间</w:t>
      </w:r>
      <w:r>
        <w:rPr>
          <w:szCs w:val="21"/>
        </w:rPr>
        <w:t>3kV历时</w:t>
      </w:r>
      <w:r>
        <w:rPr>
          <w:rFonts w:hint="eastAsia"/>
          <w:szCs w:val="21"/>
        </w:rPr>
        <w:t>2</w:t>
      </w:r>
      <w:r>
        <w:rPr>
          <w:szCs w:val="21"/>
        </w:rPr>
        <w:t xml:space="preserve">min </w:t>
      </w:r>
      <w:r>
        <w:rPr>
          <w:rFonts w:hint="eastAsia"/>
          <w:szCs w:val="21"/>
        </w:rPr>
        <w:t>或</w:t>
      </w:r>
      <w:r>
        <w:rPr>
          <w:szCs w:val="21"/>
        </w:rPr>
        <w:t>4kV历时1min</w:t>
      </w:r>
      <w:r>
        <w:rPr>
          <w:rFonts w:hint="eastAsia"/>
          <w:szCs w:val="21"/>
        </w:rPr>
        <w:t>的试验电压</w:t>
      </w:r>
      <w:r>
        <w:rPr>
          <w:szCs w:val="21"/>
        </w:rPr>
        <w:t>，无击穿或闪络现象，确保在高电压冲击下的绝缘可靠性。​</w:t>
      </w:r>
      <w:r>
        <w:rPr>
          <w:rFonts w:hint="eastAsia"/>
          <w:szCs w:val="21"/>
        </w:rPr>
        <w:t xml:space="preserve"> </w:t>
      </w:r>
    </w:p>
    <w:p w14:paraId="59B679F8">
      <w:pPr>
        <w:topLinePunct/>
        <w:spacing w:line="312" w:lineRule="exact"/>
        <w:ind w:firstLine="420"/>
        <w:rPr>
          <w:szCs w:val="21"/>
        </w:rPr>
      </w:pPr>
      <w:r>
        <w:rPr>
          <w:szCs w:val="21"/>
        </w:rPr>
        <w:t xml:space="preserve">(2) </w:t>
      </w:r>
      <w:r>
        <w:rPr>
          <w:rFonts w:hint="eastAsia"/>
          <w:szCs w:val="21"/>
        </w:rPr>
        <w:t xml:space="preserve">匝间绝缘强度 </w:t>
      </w:r>
    </w:p>
    <w:p w14:paraId="7948986C">
      <w:pPr>
        <w:topLinePunct/>
        <w:spacing w:line="312" w:lineRule="exact"/>
        <w:ind w:firstLine="420"/>
        <w:rPr>
          <w:szCs w:val="21"/>
        </w:rPr>
      </w:pPr>
      <w:r>
        <w:rPr>
          <w:rFonts w:hint="eastAsia"/>
          <w:szCs w:val="21"/>
        </w:rPr>
        <w:t>将二次线圈开路，一次线圈通以额定频率的额定电流并维持一分钟，互感器内匝间绝缘无损坏。</w:t>
      </w:r>
    </w:p>
    <w:p w14:paraId="7AEE9BAC">
      <w:pPr>
        <w:topLinePunct/>
        <w:spacing w:line="312" w:lineRule="exact"/>
        <w:ind w:firstLine="420"/>
        <w:rPr>
          <w:szCs w:val="21"/>
        </w:rPr>
      </w:pPr>
      <w:r>
        <w:rPr>
          <w:rFonts w:hint="eastAsia"/>
          <w:szCs w:val="21"/>
        </w:rPr>
        <w:t>6.2</w:t>
      </w:r>
      <w:r>
        <w:rPr>
          <w:szCs w:val="21"/>
        </w:rPr>
        <w:t>绝缘电阻​</w:t>
      </w:r>
    </w:p>
    <w:p w14:paraId="3195F9D8">
      <w:pPr>
        <w:topLinePunct/>
        <w:spacing w:line="312" w:lineRule="exact"/>
        <w:ind w:firstLine="420"/>
        <w:rPr>
          <w:szCs w:val="21"/>
        </w:rPr>
      </w:pPr>
      <w:r>
        <w:rPr>
          <w:szCs w:val="21"/>
        </w:rPr>
        <w:t xml:space="preserve">一次绕组对二次绕组及地之间的绝缘电阻应不低于 </w:t>
      </w:r>
      <w:r>
        <w:rPr>
          <w:rFonts w:hint="eastAsia"/>
          <w:szCs w:val="21"/>
        </w:rPr>
        <w:t>5</w:t>
      </w:r>
      <w:r>
        <w:rPr>
          <w:szCs w:val="21"/>
        </w:rPr>
        <w:t>00MΩ/500vdc，以有效阻止电流泄漏，保障设备的正常运行与测量准确性。​</w:t>
      </w:r>
    </w:p>
    <w:p w14:paraId="5C80BAD4">
      <w:pPr>
        <w:topLinePunct/>
        <w:spacing w:line="312" w:lineRule="exact"/>
        <w:ind w:firstLine="420"/>
        <w:rPr>
          <w:szCs w:val="21"/>
        </w:rPr>
      </w:pPr>
      <w:r>
        <w:rPr>
          <w:rFonts w:hint="eastAsia"/>
          <w:szCs w:val="21"/>
        </w:rPr>
        <w:t>6.3</w:t>
      </w:r>
      <w:r>
        <w:rPr>
          <w:szCs w:val="21"/>
        </w:rPr>
        <w:t>耐受冲击电压​</w:t>
      </w:r>
    </w:p>
    <w:p w14:paraId="4FC1D4BF">
      <w:pPr>
        <w:topLinePunct/>
        <w:spacing w:line="312" w:lineRule="exact"/>
        <w:ind w:firstLine="420"/>
        <w:rPr>
          <w:szCs w:val="21"/>
        </w:rPr>
      </w:pPr>
      <w:r>
        <w:rPr>
          <w:szCs w:val="21"/>
        </w:rPr>
        <w:t xml:space="preserve">互感器应能承受 </w:t>
      </w:r>
      <w:r>
        <w:rPr>
          <w:rFonts w:hint="eastAsia"/>
          <w:szCs w:val="21"/>
        </w:rPr>
        <w:t>5000V（1.2/50μs标准雷电波）</w:t>
      </w:r>
      <w:r>
        <w:rPr>
          <w:szCs w:val="21"/>
        </w:rPr>
        <w:t>的冲击试验，试验后互感器不应出现绝缘损坏、性能劣化等现象，确保在雷电等冲击电压环境下仍能可靠运行。</w:t>
      </w:r>
    </w:p>
    <w:p w14:paraId="7AA52880">
      <w:pPr>
        <w:topLinePunct/>
        <w:spacing w:line="312" w:lineRule="exact"/>
        <w:ind w:firstLine="420"/>
        <w:rPr>
          <w:szCs w:val="21"/>
        </w:rPr>
      </w:pPr>
      <w:r>
        <w:rPr>
          <w:rFonts w:hint="eastAsia"/>
          <w:szCs w:val="21"/>
        </w:rPr>
        <w:t>6.3</w:t>
      </w:r>
      <w:r>
        <w:rPr>
          <w:szCs w:val="21"/>
        </w:rPr>
        <w:t>过载能力​</w:t>
      </w:r>
    </w:p>
    <w:p w14:paraId="6C153A03">
      <w:pPr>
        <w:topLinePunct/>
        <w:spacing w:line="312" w:lineRule="exact"/>
        <w:ind w:firstLine="420"/>
        <w:rPr>
          <w:szCs w:val="21"/>
        </w:rPr>
      </w:pPr>
      <w:r>
        <w:rPr>
          <w:szCs w:val="21"/>
        </w:rPr>
        <w:t>互感器应能</w:t>
      </w:r>
      <w:r>
        <w:rPr>
          <w:rFonts w:hint="eastAsia"/>
          <w:szCs w:val="21"/>
        </w:rPr>
        <w:t>满足参数妖气</w:t>
      </w:r>
      <w:r>
        <w:rPr>
          <w:szCs w:val="21"/>
        </w:rPr>
        <w:t>，且不发生损坏或明显的性能变化。​</w:t>
      </w:r>
    </w:p>
    <w:p w14:paraId="08CC968C">
      <w:pPr>
        <w:pStyle w:val="60"/>
      </w:pPr>
      <w:r>
        <w:rPr>
          <w:rFonts w:hint="eastAsia"/>
        </w:rPr>
        <w:t>6</w:t>
      </w:r>
      <w:r>
        <w:rPr>
          <w:rFonts w:hint="eastAsia"/>
          <w:spacing w:val="20"/>
        </w:rPr>
        <w:t>.</w:t>
      </w:r>
      <w:r>
        <w:rPr>
          <w:rFonts w:hint="eastAsia"/>
        </w:rPr>
        <w:t>4　出厂试验</w:t>
      </w:r>
    </w:p>
    <w:p w14:paraId="5EF9ED2E">
      <w:pPr>
        <w:topLinePunct/>
        <w:spacing w:line="312" w:lineRule="exact"/>
        <w:rPr>
          <w:snapToGrid w:val="0"/>
          <w:szCs w:val="21"/>
        </w:rPr>
      </w:pPr>
      <w:r>
        <w:rPr>
          <w:rFonts w:hint="eastAsia"/>
          <w:snapToGrid w:val="0"/>
          <w:szCs w:val="21"/>
        </w:rPr>
        <w:t>6.4.1　每一个产品在出厂时都应进行出厂试验，均应按相应的标准通过出厂试验。</w:t>
      </w:r>
    </w:p>
    <w:p w14:paraId="6EF17597">
      <w:pPr>
        <w:tabs>
          <w:tab w:val="left" w:pos="720"/>
        </w:tabs>
        <w:topLinePunct/>
        <w:spacing w:line="312" w:lineRule="exact"/>
        <w:rPr>
          <w:snapToGrid w:val="0"/>
          <w:szCs w:val="21"/>
        </w:rPr>
      </w:pPr>
      <w:r>
        <w:rPr>
          <w:rFonts w:hint="eastAsia"/>
          <w:snapToGrid w:val="0"/>
          <w:szCs w:val="21"/>
        </w:rPr>
        <w:t>6.4.2</w:t>
      </w:r>
      <w:r>
        <w:rPr>
          <w:snapToGrid w:val="0"/>
          <w:szCs w:val="21"/>
        </w:rPr>
        <w:t>绝缘电阻测试：使用规定的绝缘电阻测试仪器，测量互感器一次绕组对二次绕组及地、二次绕组对地的绝缘电阻，绝缘电阻值符合相关标准要求。​</w:t>
      </w:r>
    </w:p>
    <w:p w14:paraId="40391D43">
      <w:pPr>
        <w:tabs>
          <w:tab w:val="left" w:pos="720"/>
        </w:tabs>
        <w:topLinePunct/>
        <w:spacing w:line="312" w:lineRule="exact"/>
        <w:rPr>
          <w:snapToGrid w:val="0"/>
          <w:szCs w:val="21"/>
        </w:rPr>
      </w:pPr>
      <w:r>
        <w:rPr>
          <w:rFonts w:hint="eastAsia"/>
          <w:snapToGrid w:val="0"/>
          <w:szCs w:val="21"/>
        </w:rPr>
        <w:t>6.4.3</w:t>
      </w:r>
      <w:r>
        <w:rPr>
          <w:snapToGrid w:val="0"/>
          <w:szCs w:val="21"/>
        </w:rPr>
        <w:t>工频耐压试验：对互感器一次绕组和二次绕组施加规定的工频试验电压，持续时间 1min，无击穿、闪络现象。​</w:t>
      </w:r>
    </w:p>
    <w:p w14:paraId="6A247378">
      <w:pPr>
        <w:tabs>
          <w:tab w:val="left" w:pos="720"/>
        </w:tabs>
        <w:topLinePunct/>
        <w:spacing w:line="312" w:lineRule="exact"/>
        <w:rPr>
          <w:snapToGrid w:val="0"/>
          <w:szCs w:val="21"/>
        </w:rPr>
      </w:pPr>
      <w:r>
        <w:rPr>
          <w:rFonts w:hint="eastAsia"/>
          <w:snapToGrid w:val="0"/>
          <w:szCs w:val="21"/>
        </w:rPr>
        <w:t>6.4.4</w:t>
      </w:r>
      <w:r>
        <w:rPr>
          <w:snapToGrid w:val="0"/>
          <w:szCs w:val="21"/>
        </w:rPr>
        <w:t>变比测试：运用高精度的变比测试仪器，测量互感器的实际变比，与额定变比的误差在规定范围内。​</w:t>
      </w:r>
    </w:p>
    <w:p w14:paraId="136EC486">
      <w:pPr>
        <w:tabs>
          <w:tab w:val="left" w:pos="720"/>
        </w:tabs>
        <w:topLinePunct/>
        <w:spacing w:line="312" w:lineRule="exact"/>
        <w:rPr>
          <w:snapToGrid w:val="0"/>
          <w:szCs w:val="21"/>
        </w:rPr>
      </w:pPr>
      <w:r>
        <w:rPr>
          <w:rFonts w:hint="eastAsia"/>
          <w:snapToGrid w:val="0"/>
          <w:szCs w:val="21"/>
        </w:rPr>
        <w:t>6.4.5</w:t>
      </w:r>
      <w:r>
        <w:rPr>
          <w:snapToGrid w:val="0"/>
          <w:szCs w:val="21"/>
        </w:rPr>
        <w:t>相位差和比值差测试：在额定频率、额定负荷下，测试互感器的相位差和比值差，满足技术要求。</w:t>
      </w:r>
    </w:p>
    <w:p w14:paraId="5619136D">
      <w:pPr>
        <w:pStyle w:val="60"/>
        <w:rPr>
          <w:rFonts w:hint="eastAsia"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004FB96E">
      <w:pPr>
        <w:tabs>
          <w:tab w:val="left" w:pos="720"/>
        </w:tabs>
        <w:topLinePunct/>
        <w:spacing w:line="312" w:lineRule="exact"/>
        <w:rPr>
          <w:snapToGrid w:val="0"/>
          <w:szCs w:val="21"/>
        </w:rPr>
      </w:pPr>
      <w:r>
        <w:rPr>
          <w:rFonts w:hint="eastAsia"/>
          <w:snapToGrid w:val="0"/>
          <w:szCs w:val="21"/>
        </w:rPr>
        <w:t>6.4.1</w:t>
      </w:r>
      <w:r>
        <w:rPr>
          <w:snapToGrid w:val="0"/>
          <w:szCs w:val="21"/>
        </w:rPr>
        <w:t>招标人有权对中标产品进行抽检，抽检比例</w:t>
      </w:r>
      <w:r>
        <w:rPr>
          <w:rFonts w:hint="eastAsia"/>
          <w:snapToGrid w:val="0"/>
          <w:szCs w:val="21"/>
        </w:rPr>
        <w:t>不低于</w:t>
      </w:r>
      <w:r>
        <w:rPr>
          <w:snapToGrid w:val="0"/>
          <w:szCs w:val="21"/>
        </w:rPr>
        <w:t xml:space="preserve"> </w:t>
      </w:r>
      <w:r>
        <w:rPr>
          <w:rFonts w:hint="eastAsia"/>
          <w:snapToGrid w:val="0"/>
          <w:szCs w:val="21"/>
        </w:rPr>
        <w:t>10</w:t>
      </w:r>
      <w:r>
        <w:rPr>
          <w:snapToGrid w:val="0"/>
          <w:szCs w:val="21"/>
        </w:rPr>
        <w:t>%。​</w:t>
      </w:r>
    </w:p>
    <w:p w14:paraId="0D8957DA">
      <w:pPr>
        <w:tabs>
          <w:tab w:val="left" w:pos="720"/>
        </w:tabs>
        <w:topLinePunct/>
        <w:spacing w:line="312" w:lineRule="exact"/>
        <w:rPr>
          <w:snapToGrid w:val="0"/>
          <w:szCs w:val="21"/>
        </w:rPr>
      </w:pPr>
      <w:r>
        <w:rPr>
          <w:rFonts w:hint="eastAsia"/>
          <w:snapToGrid w:val="0"/>
          <w:szCs w:val="21"/>
        </w:rPr>
        <w:t>6.4.2</w:t>
      </w:r>
      <w:r>
        <w:rPr>
          <w:snapToGrid w:val="0"/>
          <w:szCs w:val="21"/>
        </w:rPr>
        <w:t>抽检项目涵盖绝缘电阻测试、工频耐压试验、变比测试、相位差和比值差测试等，抽检结果符合产品标准和本招标文件要求。​</w:t>
      </w:r>
    </w:p>
    <w:p w14:paraId="68FC0416">
      <w:pPr>
        <w:tabs>
          <w:tab w:val="left" w:pos="720"/>
        </w:tabs>
        <w:topLinePunct/>
        <w:spacing w:line="312" w:lineRule="exact"/>
        <w:rPr>
          <w:snapToGrid w:val="0"/>
          <w:szCs w:val="21"/>
        </w:rPr>
      </w:pPr>
      <w:r>
        <w:rPr>
          <w:rFonts w:hint="eastAsia"/>
          <w:snapToGrid w:val="0"/>
          <w:szCs w:val="21"/>
        </w:rPr>
        <w:t>6.4.3</w:t>
      </w:r>
      <w:r>
        <w:rPr>
          <w:snapToGrid w:val="0"/>
          <w:szCs w:val="21"/>
        </w:rPr>
        <w:t>若抽检不合格，招标人有权要求投标人对整批产品进行整改或退换货，由此产生的费用由投标人承担。</w:t>
      </w:r>
    </w:p>
    <w:p w14:paraId="1642B783">
      <w:pPr>
        <w:pStyle w:val="61"/>
        <w:outlineLvl w:val="0"/>
      </w:pPr>
      <w:bookmarkStart w:id="17" w:name="_Toc192505530"/>
      <w:r>
        <w:rPr>
          <w:rFonts w:hint="eastAsia"/>
        </w:rPr>
        <w:t>7　技术服务和售后服务</w:t>
      </w:r>
      <w:bookmarkEnd w:id="17"/>
    </w:p>
    <w:p w14:paraId="1886EB0B">
      <w:pPr>
        <w:pStyle w:val="60"/>
      </w:pPr>
      <w:r>
        <w:rPr>
          <w:rFonts w:hint="eastAsia"/>
        </w:rPr>
        <w:t>7</w:t>
      </w:r>
      <w:r>
        <w:rPr>
          <w:rFonts w:hint="eastAsia"/>
          <w:spacing w:val="20"/>
        </w:rPr>
        <w:t>.</w:t>
      </w:r>
      <w:r>
        <w:rPr>
          <w:rFonts w:hint="eastAsia"/>
        </w:rPr>
        <w:t>1　技术服务</w:t>
      </w:r>
    </w:p>
    <w:p w14:paraId="5F3A75C8">
      <w:pPr>
        <w:widowControl/>
        <w:jc w:val="left"/>
        <w:rPr>
          <w:snapToGrid w:val="0"/>
          <w:kern w:val="0"/>
          <w:szCs w:val="21"/>
        </w:rPr>
      </w:pPr>
      <w:r>
        <w:rPr>
          <w:rFonts w:hint="eastAsia"/>
          <w:snapToGrid w:val="0"/>
          <w:kern w:val="0"/>
          <w:szCs w:val="21"/>
        </w:rPr>
        <w:t>7.2.1　投标人应指派有经验的工程师，对合同设备的使用、试验等进行技术指导。指导人员应具备专业知识和丰富经验，能及时解决使用过程中出现的问题。</w:t>
      </w:r>
      <w:bookmarkStart w:id="18" w:name="_Toc178439789"/>
      <w:bookmarkStart w:id="19" w:name="_Toc269375989"/>
    </w:p>
    <w:p w14:paraId="0506C9EE">
      <w:pPr>
        <w:widowControl/>
        <w:jc w:val="left"/>
        <w:rPr>
          <w:snapToGrid w:val="0"/>
          <w:kern w:val="0"/>
          <w:szCs w:val="21"/>
        </w:rPr>
      </w:pPr>
      <w:r>
        <w:rPr>
          <w:rFonts w:hint="eastAsia"/>
          <w:snapToGrid w:val="0"/>
          <w:kern w:val="0"/>
          <w:szCs w:val="21"/>
        </w:rPr>
        <w:t>7.2.2　</w:t>
      </w:r>
      <w:r>
        <w:rPr>
          <w:snapToGrid w:val="0"/>
          <w:kern w:val="0"/>
          <w:szCs w:val="21"/>
        </w:rPr>
        <w:t>若因技术更新或产品改进，投标人应及时通知用户，并提供相应的技术升级方案和支持。</w:t>
      </w:r>
    </w:p>
    <w:p w14:paraId="732EDE08">
      <w:pPr>
        <w:pStyle w:val="60"/>
      </w:pPr>
      <w:r>
        <w:rPr>
          <w:rFonts w:hint="eastAsia"/>
        </w:rPr>
        <w:t>7</w:t>
      </w:r>
      <w:r>
        <w:rPr>
          <w:rFonts w:hint="eastAsia"/>
          <w:spacing w:val="20"/>
        </w:rPr>
        <w:t>.2</w:t>
      </w:r>
      <w:r>
        <w:rPr>
          <w:rFonts w:hint="eastAsia"/>
        </w:rPr>
        <w:t>　</w:t>
      </w:r>
      <w:r>
        <w:rPr>
          <w:rFonts w:hint="eastAsia"/>
          <w:snapToGrid w:val="0"/>
        </w:rPr>
        <w:t>售后服务</w:t>
      </w:r>
    </w:p>
    <w:bookmarkEnd w:id="18"/>
    <w:bookmarkEnd w:id="19"/>
    <w:p w14:paraId="6808D73C">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3635FC3A">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501A1855">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03B0AB73">
      <w:pPr>
        <w:widowControl/>
        <w:jc w:val="left"/>
        <w:rPr>
          <w:snapToGrid w:val="0"/>
          <w:kern w:val="0"/>
          <w:szCs w:val="21"/>
        </w:rPr>
      </w:pPr>
      <w:r>
        <w:rPr>
          <w:rFonts w:hint="eastAsia"/>
          <w:snapToGrid w:val="0"/>
          <w:kern w:val="0"/>
          <w:szCs w:val="21"/>
        </w:rPr>
        <w:t>7.2.4　</w:t>
      </w:r>
      <w:r>
        <w:rPr>
          <w:snapToGrid w:val="0"/>
          <w:kern w:val="0"/>
          <w:szCs w:val="21"/>
        </w:rPr>
        <w:t>投标方应提供长期的技术支持服务，包括但不限于技术咨询、远程诊断、现场培训等。定期回访采购方，了解产品使用情况，及时解决可能出现的问题。</w:t>
      </w:r>
    </w:p>
    <w:p w14:paraId="71064987">
      <w:pPr>
        <w:widowControl/>
        <w:jc w:val="left"/>
        <w:rPr>
          <w:snapToGrid w:val="0"/>
          <w:kern w:val="0"/>
          <w:szCs w:val="21"/>
        </w:rPr>
      </w:pPr>
    </w:p>
    <w:p w14:paraId="142457DD">
      <w:pPr>
        <w:pStyle w:val="61"/>
        <w:outlineLvl w:val="0"/>
      </w:pPr>
      <w:bookmarkStart w:id="20" w:name="_Toc192505531"/>
      <w:r>
        <w:rPr>
          <w:rFonts w:hint="eastAsia"/>
        </w:rPr>
        <w:t>8　报价表</w:t>
      </w:r>
      <w:bookmarkEnd w:id="20"/>
    </w:p>
    <w:p w14:paraId="514B6ABD">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2172"/>
        <w:gridCol w:w="2152"/>
        <w:gridCol w:w="779"/>
        <w:gridCol w:w="939"/>
        <w:gridCol w:w="2086"/>
        <w:gridCol w:w="859"/>
        <w:gridCol w:w="1677"/>
        <w:gridCol w:w="1677"/>
      </w:tblGrid>
      <w:tr w14:paraId="2C68BDEF">
        <w:tblPrEx>
          <w:tblCellMar>
            <w:top w:w="0" w:type="dxa"/>
            <w:left w:w="108" w:type="dxa"/>
            <w:bottom w:w="0" w:type="dxa"/>
            <w:right w:w="108" w:type="dxa"/>
          </w:tblCellMar>
        </w:tblPrEx>
        <w:trPr>
          <w:trHeight w:val="570" w:hRule="atLeast"/>
        </w:trPr>
        <w:tc>
          <w:tcPr>
            <w:tcW w:w="13061" w:type="dxa"/>
            <w:gridSpan w:val="9"/>
            <w:tcBorders>
              <w:top w:val="nil"/>
              <w:left w:val="nil"/>
              <w:bottom w:val="single" w:color="auto" w:sz="4" w:space="0"/>
              <w:right w:val="nil"/>
            </w:tcBorders>
            <w:shd w:val="clear" w:color="auto" w:fill="auto"/>
            <w:vAlign w:val="center"/>
          </w:tcPr>
          <w:p w14:paraId="554AAA0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报价汇总表</w:t>
            </w:r>
          </w:p>
        </w:tc>
      </w:tr>
      <w:tr w14:paraId="27DF80F8">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94B3DE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2172" w:type="dxa"/>
            <w:tcBorders>
              <w:top w:val="nil"/>
              <w:left w:val="nil"/>
              <w:bottom w:val="single" w:color="auto" w:sz="4" w:space="0"/>
              <w:right w:val="single" w:color="auto" w:sz="4" w:space="0"/>
            </w:tcBorders>
            <w:shd w:val="clear" w:color="auto" w:fill="auto"/>
            <w:vAlign w:val="center"/>
          </w:tcPr>
          <w:p w14:paraId="6693D7E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产品技术描述</w:t>
            </w:r>
          </w:p>
        </w:tc>
        <w:tc>
          <w:tcPr>
            <w:tcW w:w="2152" w:type="dxa"/>
            <w:tcBorders>
              <w:top w:val="nil"/>
              <w:left w:val="single" w:color="auto" w:sz="4" w:space="0"/>
              <w:bottom w:val="single" w:color="auto" w:sz="4" w:space="0"/>
              <w:right w:val="single" w:color="auto" w:sz="4" w:space="0"/>
            </w:tcBorders>
            <w:shd w:val="clear" w:color="auto" w:fill="auto"/>
            <w:vAlign w:val="center"/>
          </w:tcPr>
          <w:p w14:paraId="4CB79E75">
            <w:pPr>
              <w:widowControl/>
              <w:jc w:val="center"/>
              <w:rPr>
                <w:rFonts w:hint="eastAsia" w:ascii="宋体" w:hAnsi="宋体" w:cs="宋体"/>
                <w:color w:val="000000"/>
                <w:kern w:val="0"/>
                <w:sz w:val="22"/>
                <w:szCs w:val="22"/>
              </w:rPr>
            </w:pPr>
          </w:p>
        </w:tc>
        <w:tc>
          <w:tcPr>
            <w:tcW w:w="779" w:type="dxa"/>
            <w:tcBorders>
              <w:top w:val="nil"/>
              <w:left w:val="nil"/>
              <w:bottom w:val="single" w:color="auto" w:sz="4" w:space="0"/>
              <w:right w:val="single" w:color="auto" w:sz="4" w:space="0"/>
            </w:tcBorders>
            <w:shd w:val="clear" w:color="auto" w:fill="auto"/>
            <w:vAlign w:val="center"/>
          </w:tcPr>
          <w:p w14:paraId="50CFCB0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4EADD31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7D89097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0D3D768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09F8A70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232D9C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其他说明</w:t>
            </w:r>
          </w:p>
        </w:tc>
      </w:tr>
      <w:tr w14:paraId="2C901EF1">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4637CD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2172" w:type="dxa"/>
            <w:tcBorders>
              <w:top w:val="nil"/>
              <w:left w:val="nil"/>
              <w:bottom w:val="single" w:color="auto" w:sz="4" w:space="0"/>
              <w:right w:val="single" w:color="auto" w:sz="4" w:space="0"/>
            </w:tcBorders>
            <w:shd w:val="clear" w:color="auto" w:fill="auto"/>
            <w:vAlign w:val="center"/>
          </w:tcPr>
          <w:p w14:paraId="37B825C8">
            <w:pPr>
              <w:widowControl/>
              <w:jc w:val="left"/>
              <w:rPr>
                <w:rFonts w:hint="eastAsia" w:ascii="宋体" w:hAnsi="宋体" w:cs="宋体"/>
                <w:color w:val="000000"/>
                <w:kern w:val="0"/>
                <w:sz w:val="22"/>
                <w:szCs w:val="22"/>
                <w:highlight w:val="yellow"/>
              </w:rPr>
            </w:pPr>
            <w:r>
              <w:rPr>
                <w:rFonts w:hint="eastAsia" w:ascii="宋体" w:hAnsi="宋体" w:cs="宋体"/>
                <w:color w:val="000000" w:themeColor="text1"/>
                <w:kern w:val="0"/>
                <w:szCs w:val="21"/>
                <w:lang w:bidi="ar"/>
                <w14:textFill>
                  <w14:solidFill>
                    <w14:schemeClr w14:val="tx1"/>
                  </w14:solidFill>
                </w14:textFill>
              </w:rPr>
              <w:t>电流互感器</w:t>
            </w:r>
          </w:p>
        </w:tc>
        <w:tc>
          <w:tcPr>
            <w:tcW w:w="2152" w:type="dxa"/>
            <w:tcBorders>
              <w:top w:val="nil"/>
              <w:left w:val="single" w:color="auto" w:sz="4" w:space="0"/>
              <w:bottom w:val="single" w:color="auto" w:sz="4" w:space="0"/>
              <w:right w:val="single" w:color="auto" w:sz="4" w:space="0"/>
            </w:tcBorders>
            <w:shd w:val="clear" w:color="auto" w:fill="auto"/>
            <w:vAlign w:val="center"/>
          </w:tcPr>
          <w:p w14:paraId="4025AC9D">
            <w:pPr>
              <w:widowControl/>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5A/2.5mA</w:t>
            </w:r>
          </w:p>
        </w:tc>
        <w:tc>
          <w:tcPr>
            <w:tcW w:w="779" w:type="dxa"/>
            <w:tcBorders>
              <w:top w:val="nil"/>
              <w:left w:val="nil"/>
              <w:bottom w:val="single" w:color="auto" w:sz="4" w:space="0"/>
              <w:right w:val="single" w:color="auto" w:sz="4" w:space="0"/>
            </w:tcBorders>
            <w:shd w:val="clear" w:color="auto" w:fill="auto"/>
            <w:vAlign w:val="center"/>
          </w:tcPr>
          <w:p w14:paraId="2E8E4AEA">
            <w:pPr>
              <w:jc w:val="center"/>
              <w:rPr>
                <w:rFonts w:hint="eastAsia"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23DCC402">
            <w:pPr>
              <w:jc w:val="center"/>
              <w:rPr>
                <w:rFonts w:hint="eastAsia"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675841C3">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3FDFC928">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0734CBEA">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0F7F9552">
            <w:pPr>
              <w:widowControl/>
              <w:jc w:val="center"/>
              <w:rPr>
                <w:rFonts w:hint="eastAsia" w:ascii="宋体" w:hAnsi="宋体" w:cs="宋体"/>
                <w:color w:val="000000"/>
                <w:kern w:val="0"/>
                <w:sz w:val="22"/>
                <w:szCs w:val="22"/>
                <w:highlight w:val="yellow"/>
              </w:rPr>
            </w:pPr>
          </w:p>
        </w:tc>
      </w:tr>
      <w:tr w14:paraId="08F2A4C2">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FFFC73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2172" w:type="dxa"/>
            <w:tcBorders>
              <w:top w:val="nil"/>
              <w:left w:val="nil"/>
              <w:bottom w:val="single" w:color="auto" w:sz="4" w:space="0"/>
              <w:right w:val="single" w:color="auto" w:sz="4" w:space="0"/>
            </w:tcBorders>
            <w:shd w:val="clear" w:color="auto" w:fill="auto"/>
            <w:vAlign w:val="top"/>
          </w:tcPr>
          <w:p w14:paraId="028A3D49">
            <w:pPr>
              <w:widowControl/>
              <w:shd w:val="clear" w:color="auto" w:fill="FFFFFF" w:themeFill="background1"/>
              <w:jc w:val="left"/>
              <w:textAlignment w:val="bottom"/>
              <w:rPr>
                <w:rFonts w:hint="eastAsia" w:ascii="宋体" w:hAnsi="宋体" w:cs="宋体"/>
                <w:color w:val="000000"/>
                <w:kern w:val="0"/>
                <w:sz w:val="22"/>
                <w:szCs w:val="22"/>
                <w:highlight w:val="yellow"/>
              </w:rPr>
            </w:pPr>
            <w:r>
              <w:rPr>
                <w:rFonts w:hint="eastAsia" w:ascii="宋体" w:hAnsi="宋体" w:cs="宋体"/>
                <w:kern w:val="0"/>
                <w:szCs w:val="21"/>
                <w:lang w:bidi="ar"/>
              </w:rPr>
              <w:t>电流型电压互感器</w:t>
            </w:r>
          </w:p>
        </w:tc>
        <w:tc>
          <w:tcPr>
            <w:tcW w:w="2152" w:type="dxa"/>
            <w:tcBorders>
              <w:top w:val="nil"/>
              <w:left w:val="single" w:color="auto" w:sz="4" w:space="0"/>
              <w:bottom w:val="single" w:color="auto" w:sz="4" w:space="0"/>
              <w:right w:val="single" w:color="auto" w:sz="4" w:space="0"/>
            </w:tcBorders>
            <w:shd w:val="clear" w:color="auto" w:fill="auto"/>
          </w:tcPr>
          <w:p w14:paraId="09A43B6B">
            <w:pPr>
              <w:widowControl/>
              <w:shd w:val="clear" w:color="auto" w:fill="FFFFFF" w:themeFill="background1"/>
              <w:jc w:val="left"/>
              <w:textAlignment w:val="bottom"/>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2mA/2mA</w:t>
            </w:r>
          </w:p>
        </w:tc>
        <w:tc>
          <w:tcPr>
            <w:tcW w:w="779" w:type="dxa"/>
            <w:tcBorders>
              <w:top w:val="nil"/>
              <w:left w:val="nil"/>
              <w:bottom w:val="single" w:color="auto" w:sz="4" w:space="0"/>
              <w:right w:val="single" w:color="auto" w:sz="4" w:space="0"/>
            </w:tcBorders>
            <w:shd w:val="clear" w:color="auto" w:fill="auto"/>
            <w:vAlign w:val="center"/>
          </w:tcPr>
          <w:p w14:paraId="0C5DC4C2">
            <w:pPr>
              <w:jc w:val="center"/>
              <w:rPr>
                <w:rFonts w:hint="eastAsia"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0451F28A">
            <w:pPr>
              <w:jc w:val="center"/>
              <w:rPr>
                <w:rFonts w:hint="eastAsia"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56D25B1C">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5EFE1A96">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554EE87F">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4F3A4194">
            <w:pPr>
              <w:widowControl/>
              <w:jc w:val="center"/>
              <w:rPr>
                <w:rFonts w:hint="eastAsia" w:ascii="宋体" w:hAnsi="宋体" w:cs="宋体"/>
                <w:color w:val="000000"/>
                <w:kern w:val="0"/>
                <w:sz w:val="22"/>
                <w:szCs w:val="22"/>
                <w:highlight w:val="yellow"/>
              </w:rPr>
            </w:pPr>
          </w:p>
        </w:tc>
      </w:tr>
      <w:tr w14:paraId="6FF5554F">
        <w:tblPrEx>
          <w:tblCellMar>
            <w:top w:w="0" w:type="dxa"/>
            <w:left w:w="108" w:type="dxa"/>
            <w:bottom w:w="0" w:type="dxa"/>
            <w:right w:w="108" w:type="dxa"/>
          </w:tblCellMar>
        </w:tblPrEx>
        <w:trPr>
          <w:trHeight w:val="9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FA75FB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2172" w:type="dxa"/>
            <w:tcBorders>
              <w:top w:val="nil"/>
              <w:left w:val="nil"/>
              <w:bottom w:val="single" w:color="auto" w:sz="4" w:space="0"/>
              <w:right w:val="single" w:color="auto" w:sz="4" w:space="0"/>
            </w:tcBorders>
            <w:shd w:val="clear" w:color="auto" w:fill="auto"/>
            <w:vAlign w:val="top"/>
          </w:tcPr>
          <w:p w14:paraId="33100D5B">
            <w:pPr>
              <w:widowControl/>
              <w:shd w:val="clear" w:color="auto" w:fill="FFFFFF" w:themeFill="background1"/>
              <w:jc w:val="left"/>
              <w:textAlignment w:val="bottom"/>
              <w:rPr>
                <w:rFonts w:hint="eastAsia" w:ascii="宋体" w:hAnsi="宋体" w:cs="宋体"/>
                <w:color w:val="000000"/>
                <w:kern w:val="0"/>
                <w:sz w:val="22"/>
                <w:szCs w:val="22"/>
                <w:highlight w:val="yellow"/>
              </w:rPr>
            </w:pPr>
            <w:r>
              <w:rPr>
                <w:rFonts w:hint="eastAsia" w:ascii="宋体" w:hAnsi="宋体" w:cs="宋体"/>
                <w:kern w:val="0"/>
                <w:szCs w:val="21"/>
                <w:lang w:bidi="ar"/>
              </w:rPr>
              <w:t>电压型电流互感器</w:t>
            </w:r>
          </w:p>
        </w:tc>
        <w:tc>
          <w:tcPr>
            <w:tcW w:w="2152" w:type="dxa"/>
            <w:tcBorders>
              <w:top w:val="nil"/>
              <w:left w:val="single" w:color="auto" w:sz="4" w:space="0"/>
              <w:bottom w:val="single" w:color="auto" w:sz="4" w:space="0"/>
              <w:right w:val="single" w:color="auto" w:sz="4" w:space="0"/>
            </w:tcBorders>
            <w:shd w:val="clear" w:color="auto" w:fill="auto"/>
          </w:tcPr>
          <w:p w14:paraId="1DFCE4FC">
            <w:pPr>
              <w:widowControl/>
              <w:shd w:val="clear" w:color="auto" w:fill="FFFFFF" w:themeFill="background1"/>
              <w:jc w:val="left"/>
              <w:textAlignment w:val="bottom"/>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100A/7.07V</w:t>
            </w:r>
          </w:p>
        </w:tc>
        <w:tc>
          <w:tcPr>
            <w:tcW w:w="779" w:type="dxa"/>
            <w:tcBorders>
              <w:top w:val="nil"/>
              <w:left w:val="nil"/>
              <w:bottom w:val="single" w:color="auto" w:sz="4" w:space="0"/>
              <w:right w:val="single" w:color="auto" w:sz="4" w:space="0"/>
            </w:tcBorders>
            <w:shd w:val="clear" w:color="auto" w:fill="auto"/>
            <w:vAlign w:val="center"/>
          </w:tcPr>
          <w:p w14:paraId="09DD2B09">
            <w:pPr>
              <w:jc w:val="center"/>
              <w:rPr>
                <w:rFonts w:hint="eastAsia"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04C8BCFC">
            <w:pPr>
              <w:jc w:val="center"/>
              <w:rPr>
                <w:rFonts w:hint="eastAsia"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2406B251">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2FF38BB1">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2D42DCF8">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923DD7F">
            <w:pPr>
              <w:widowControl/>
              <w:jc w:val="center"/>
              <w:rPr>
                <w:rFonts w:hint="eastAsia" w:ascii="宋体" w:hAnsi="宋体" w:cs="宋体"/>
                <w:color w:val="000000"/>
                <w:kern w:val="0"/>
                <w:sz w:val="22"/>
                <w:szCs w:val="22"/>
                <w:highlight w:val="yellow"/>
              </w:rPr>
            </w:pPr>
          </w:p>
        </w:tc>
      </w:tr>
      <w:tr w14:paraId="1E618DA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1D6A16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2172" w:type="dxa"/>
            <w:tcBorders>
              <w:top w:val="nil"/>
              <w:left w:val="nil"/>
              <w:bottom w:val="single" w:color="auto" w:sz="4" w:space="0"/>
              <w:right w:val="single" w:color="auto" w:sz="4" w:space="0"/>
            </w:tcBorders>
            <w:shd w:val="clear" w:color="auto" w:fill="auto"/>
            <w:vAlign w:val="top"/>
          </w:tcPr>
          <w:p w14:paraId="11FB9177">
            <w:pPr>
              <w:widowControl/>
              <w:shd w:val="clear" w:color="auto" w:fill="FFFFFF" w:themeFill="background1"/>
              <w:jc w:val="left"/>
              <w:textAlignment w:val="bottom"/>
              <w:rPr>
                <w:rFonts w:hint="eastAsia" w:ascii="宋体" w:hAnsi="宋体" w:cs="宋体"/>
                <w:color w:val="000000"/>
                <w:kern w:val="0"/>
                <w:sz w:val="22"/>
                <w:szCs w:val="22"/>
                <w:highlight w:val="yellow"/>
              </w:rPr>
            </w:pPr>
            <w:r>
              <w:rPr>
                <w:rFonts w:hint="eastAsia" w:ascii="宋体" w:hAnsi="宋体" w:cs="宋体"/>
                <w:kern w:val="0"/>
                <w:szCs w:val="21"/>
                <w:lang w:bidi="ar"/>
              </w:rPr>
              <w:t>电压型电流互感器</w:t>
            </w:r>
          </w:p>
        </w:tc>
        <w:tc>
          <w:tcPr>
            <w:tcW w:w="2152" w:type="dxa"/>
            <w:tcBorders>
              <w:top w:val="nil"/>
              <w:left w:val="single" w:color="auto" w:sz="4" w:space="0"/>
              <w:bottom w:val="single" w:color="auto" w:sz="4" w:space="0"/>
              <w:right w:val="single" w:color="auto" w:sz="4" w:space="0"/>
            </w:tcBorders>
            <w:shd w:val="clear" w:color="auto" w:fill="auto"/>
          </w:tcPr>
          <w:p w14:paraId="690C07D0">
            <w:pPr>
              <w:widowControl/>
              <w:shd w:val="clear" w:color="auto" w:fill="FFFFFF" w:themeFill="background1"/>
              <w:jc w:val="left"/>
              <w:textAlignment w:val="bottom"/>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5A/3.53V</w:t>
            </w:r>
          </w:p>
        </w:tc>
        <w:tc>
          <w:tcPr>
            <w:tcW w:w="779" w:type="dxa"/>
            <w:tcBorders>
              <w:top w:val="nil"/>
              <w:left w:val="nil"/>
              <w:bottom w:val="single" w:color="auto" w:sz="4" w:space="0"/>
              <w:right w:val="single" w:color="auto" w:sz="4" w:space="0"/>
            </w:tcBorders>
            <w:shd w:val="clear" w:color="auto" w:fill="auto"/>
            <w:vAlign w:val="center"/>
          </w:tcPr>
          <w:p w14:paraId="7B0844EA">
            <w:pPr>
              <w:jc w:val="center"/>
              <w:rPr>
                <w:rFonts w:hint="eastAsia"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0748B82D">
            <w:pPr>
              <w:jc w:val="center"/>
              <w:rPr>
                <w:rFonts w:hint="eastAsia"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0BCE50DF">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0501292C">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18952C44">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2DCFF7C8">
            <w:pPr>
              <w:widowControl/>
              <w:jc w:val="center"/>
              <w:rPr>
                <w:rFonts w:hint="eastAsia" w:ascii="宋体" w:hAnsi="宋体" w:cs="宋体"/>
                <w:color w:val="000000"/>
                <w:kern w:val="0"/>
                <w:sz w:val="22"/>
                <w:szCs w:val="22"/>
                <w:highlight w:val="yellow"/>
              </w:rPr>
            </w:pPr>
          </w:p>
        </w:tc>
      </w:tr>
      <w:tr w14:paraId="32306CA4">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F83D28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2172" w:type="dxa"/>
            <w:tcBorders>
              <w:top w:val="nil"/>
              <w:left w:val="nil"/>
              <w:bottom w:val="single" w:color="auto" w:sz="4" w:space="0"/>
              <w:right w:val="single" w:color="auto" w:sz="4" w:space="0"/>
            </w:tcBorders>
            <w:shd w:val="clear" w:color="auto" w:fill="auto"/>
          </w:tcPr>
          <w:p w14:paraId="1F313C5F">
            <w:pPr>
              <w:widowControl/>
              <w:shd w:val="clear" w:color="auto" w:fill="FFFFFF" w:themeFill="background1"/>
              <w:jc w:val="left"/>
              <w:textAlignment w:val="bottom"/>
              <w:rPr>
                <w:rFonts w:hint="eastAsia" w:ascii="宋体" w:hAnsi="宋体" w:cs="宋体"/>
                <w:color w:val="000000"/>
                <w:kern w:val="0"/>
                <w:sz w:val="22"/>
                <w:szCs w:val="22"/>
                <w:highlight w:val="yellow"/>
              </w:rPr>
            </w:pPr>
            <w:r>
              <w:rPr>
                <w:rFonts w:hint="eastAsia" w:ascii="宋体" w:hAnsi="宋体" w:cs="宋体"/>
                <w:color w:val="000000" w:themeColor="text1"/>
                <w:kern w:val="0"/>
                <w:szCs w:val="21"/>
                <w:lang w:bidi="ar"/>
                <w14:textFill>
                  <w14:solidFill>
                    <w14:schemeClr w14:val="tx1"/>
                  </w14:solidFill>
                </w14:textFill>
              </w:rPr>
              <w:t>电压互感器</w:t>
            </w:r>
          </w:p>
        </w:tc>
        <w:tc>
          <w:tcPr>
            <w:tcW w:w="2152" w:type="dxa"/>
            <w:tcBorders>
              <w:top w:val="nil"/>
              <w:left w:val="single" w:color="auto" w:sz="4" w:space="0"/>
              <w:bottom w:val="single" w:color="auto" w:sz="4" w:space="0"/>
              <w:right w:val="single" w:color="auto" w:sz="4" w:space="0"/>
            </w:tcBorders>
            <w:shd w:val="clear" w:color="auto" w:fill="auto"/>
          </w:tcPr>
          <w:p w14:paraId="01D44035">
            <w:pPr>
              <w:widowControl/>
              <w:shd w:val="clear" w:color="auto" w:fill="FFFFFF" w:themeFill="background1"/>
              <w:jc w:val="left"/>
              <w:textAlignment w:val="bottom"/>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120V/7.07V</w:t>
            </w:r>
          </w:p>
        </w:tc>
        <w:tc>
          <w:tcPr>
            <w:tcW w:w="779" w:type="dxa"/>
            <w:tcBorders>
              <w:top w:val="nil"/>
              <w:left w:val="nil"/>
              <w:bottom w:val="single" w:color="auto" w:sz="4" w:space="0"/>
              <w:right w:val="single" w:color="auto" w:sz="4" w:space="0"/>
            </w:tcBorders>
            <w:shd w:val="clear" w:color="auto" w:fill="auto"/>
            <w:vAlign w:val="center"/>
          </w:tcPr>
          <w:p w14:paraId="3EE5D77D">
            <w:pPr>
              <w:jc w:val="center"/>
              <w:rPr>
                <w:rFonts w:hint="eastAsia" w:ascii="宋体" w:hAnsi="宋体" w:cs="宋体"/>
                <w:color w:val="000000"/>
                <w:kern w:val="0"/>
                <w:sz w:val="22"/>
                <w:szCs w:val="22"/>
                <w:highlight w:val="none"/>
              </w:rPr>
            </w:pPr>
            <w:r>
              <w:rPr>
                <w:rFonts w:hint="eastAsia"/>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12889B1F">
            <w:pPr>
              <w:jc w:val="center"/>
              <w:rPr>
                <w:rFonts w:hint="eastAsia" w:ascii="宋体" w:hAnsi="宋体" w:cs="宋体"/>
                <w:color w:val="000000"/>
                <w:kern w:val="0"/>
                <w:sz w:val="22"/>
                <w:szCs w:val="22"/>
                <w:highlight w:val="none"/>
              </w:rPr>
            </w:pPr>
            <w:r>
              <w:rPr>
                <w:rFonts w:hint="eastAsia"/>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1DB3BD65">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137589F6">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1F3A53AC">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1BA8B4E5">
            <w:pPr>
              <w:widowControl/>
              <w:jc w:val="center"/>
              <w:rPr>
                <w:rFonts w:hint="eastAsia" w:ascii="宋体" w:hAnsi="宋体" w:cs="宋体"/>
                <w:color w:val="000000"/>
                <w:kern w:val="0"/>
                <w:sz w:val="22"/>
                <w:szCs w:val="22"/>
                <w:highlight w:val="yellow"/>
              </w:rPr>
            </w:pPr>
          </w:p>
        </w:tc>
      </w:tr>
      <w:tr w14:paraId="38AF700A">
        <w:trPr>
          <w:trHeight w:val="270" w:hRule="atLeast"/>
        </w:trPr>
        <w:tc>
          <w:tcPr>
            <w:tcW w:w="884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546C6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074956D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23958EE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3B975BF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27679F3A">
        <w:tblPrEx>
          <w:tblCellMar>
            <w:top w:w="0" w:type="dxa"/>
            <w:left w:w="108" w:type="dxa"/>
            <w:bottom w:w="0" w:type="dxa"/>
            <w:right w:w="108" w:type="dxa"/>
          </w:tblCellMar>
        </w:tblPrEx>
        <w:trPr>
          <w:trHeight w:val="270" w:hRule="atLeast"/>
        </w:trPr>
        <w:tc>
          <w:tcPr>
            <w:tcW w:w="13061"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3D6A05A7">
            <w:pPr>
              <w:rPr>
                <w:rFonts w:hint="eastAsia" w:ascii="宋体" w:hAnsi="宋体" w:cs="宋体"/>
                <w:color w:val="000000"/>
                <w:kern w:val="0"/>
                <w:sz w:val="22"/>
                <w:szCs w:val="22"/>
              </w:rPr>
            </w:pPr>
            <w:r>
              <w:rPr>
                <w:rFonts w:hint="eastAsia"/>
                <w:color w:val="000000"/>
                <w:sz w:val="22"/>
                <w:szCs w:val="22"/>
              </w:rPr>
              <w:t>说明：1、投标单位需严格按照此格式进行报价。</w:t>
            </w:r>
          </w:p>
        </w:tc>
      </w:tr>
      <w:tr w14:paraId="332CF8A0">
        <w:tblPrEx>
          <w:tblCellMar>
            <w:top w:w="0" w:type="dxa"/>
            <w:left w:w="108" w:type="dxa"/>
            <w:bottom w:w="0" w:type="dxa"/>
            <w:right w:w="108" w:type="dxa"/>
          </w:tblCellMar>
        </w:tblPrEx>
        <w:trPr>
          <w:trHeight w:val="630" w:hRule="atLeast"/>
        </w:trPr>
        <w:tc>
          <w:tcPr>
            <w:tcW w:w="13061"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4D543974">
            <w:pPr>
              <w:rPr>
                <w:rFonts w:hint="eastAsia"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545A41CB">
        <w:tblPrEx>
          <w:tblCellMar>
            <w:top w:w="0" w:type="dxa"/>
            <w:left w:w="108" w:type="dxa"/>
            <w:bottom w:w="0" w:type="dxa"/>
            <w:right w:w="108" w:type="dxa"/>
          </w:tblCellMar>
        </w:tblPrEx>
        <w:trPr>
          <w:trHeight w:val="270" w:hRule="atLeast"/>
        </w:trPr>
        <w:tc>
          <w:tcPr>
            <w:tcW w:w="13061"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5F4AD1AA">
            <w:pPr>
              <w:rPr>
                <w:rFonts w:hint="eastAsia"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1E0137CE">
      <w:pPr>
        <w:topLinePunct/>
        <w:spacing w:line="312" w:lineRule="exact"/>
        <w:ind w:firstLine="420"/>
      </w:pPr>
    </w:p>
    <w:p w14:paraId="45EFD841">
      <w:pPr>
        <w:topLinePunct/>
        <w:spacing w:line="312" w:lineRule="exact"/>
        <w:ind w:firstLine="420"/>
      </w:pPr>
    </w:p>
    <w:p w14:paraId="0436B7DE">
      <w:pPr>
        <w:topLinePun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C253E">
    <w:pPr>
      <w:pStyle w:val="26"/>
      <w:jc w:val="center"/>
    </w:pPr>
    <w:r>
      <w:fldChar w:fldCharType="begin"/>
    </w:r>
    <w:r>
      <w:instrText xml:space="preserve"> PAGE   \* MERGEFORMAT </w:instrText>
    </w:r>
    <w:r>
      <w:fldChar w:fldCharType="separate"/>
    </w:r>
    <w:r>
      <w:t>3</w:t>
    </w:r>
    <w:r>
      <w:rPr>
        <w:lang w:val="zh-CN"/>
      </w:rPr>
      <w:fldChar w:fldCharType="end"/>
    </w:r>
  </w:p>
  <w:p w14:paraId="3BAD941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69F8E">
    <w:pPr>
      <w:pStyle w:val="26"/>
      <w:jc w:val="center"/>
    </w:pPr>
    <w:r>
      <w:fldChar w:fldCharType="begin"/>
    </w:r>
    <w:r>
      <w:instrText xml:space="preserve"> PAGE   \* MERGEFORMAT </w:instrText>
    </w:r>
    <w:r>
      <w:fldChar w:fldCharType="separate"/>
    </w:r>
    <w:r>
      <w:t>1</w:t>
    </w:r>
    <w:r>
      <w:rPr>
        <w:lang w:val="zh-CN"/>
      </w:rPr>
      <w:fldChar w:fldCharType="end"/>
    </w:r>
  </w:p>
  <w:p w14:paraId="28E3EE2B">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BB3206"/>
    <w:multiLevelType w:val="multilevel"/>
    <w:tmpl w:val="3BBB3206"/>
    <w:lvl w:ilvl="0" w:tentative="0">
      <w:start w:val="1"/>
      <w:numFmt w:val="lowerLetter"/>
      <w:lvlText w:val="%1）"/>
      <w:lvlJc w:val="left"/>
      <w:pPr>
        <w:ind w:left="840" w:hanging="42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3402"/>
    <w:rsid w:val="00006B18"/>
    <w:rsid w:val="00010CA8"/>
    <w:rsid w:val="000129FA"/>
    <w:rsid w:val="00021C97"/>
    <w:rsid w:val="00026D8C"/>
    <w:rsid w:val="00027790"/>
    <w:rsid w:val="00045CC3"/>
    <w:rsid w:val="00052B72"/>
    <w:rsid w:val="0006061E"/>
    <w:rsid w:val="00061FA9"/>
    <w:rsid w:val="00066494"/>
    <w:rsid w:val="000769B5"/>
    <w:rsid w:val="00077CBC"/>
    <w:rsid w:val="00090144"/>
    <w:rsid w:val="000A7A21"/>
    <w:rsid w:val="000E0865"/>
    <w:rsid w:val="000E71D5"/>
    <w:rsid w:val="000E7993"/>
    <w:rsid w:val="000F0DBA"/>
    <w:rsid w:val="00124CF9"/>
    <w:rsid w:val="00125A87"/>
    <w:rsid w:val="001273B0"/>
    <w:rsid w:val="001313B0"/>
    <w:rsid w:val="001352A0"/>
    <w:rsid w:val="001358F8"/>
    <w:rsid w:val="00141416"/>
    <w:rsid w:val="00146E6B"/>
    <w:rsid w:val="00150D82"/>
    <w:rsid w:val="00151200"/>
    <w:rsid w:val="00155E6D"/>
    <w:rsid w:val="00167BB5"/>
    <w:rsid w:val="00172A27"/>
    <w:rsid w:val="00176673"/>
    <w:rsid w:val="00187CDB"/>
    <w:rsid w:val="00191947"/>
    <w:rsid w:val="001A0F14"/>
    <w:rsid w:val="001B224E"/>
    <w:rsid w:val="001B6DAC"/>
    <w:rsid w:val="001C044F"/>
    <w:rsid w:val="001D11FA"/>
    <w:rsid w:val="001D3F56"/>
    <w:rsid w:val="001D4A24"/>
    <w:rsid w:val="001D5A98"/>
    <w:rsid w:val="001D7370"/>
    <w:rsid w:val="001F1E49"/>
    <w:rsid w:val="002068E4"/>
    <w:rsid w:val="00206B25"/>
    <w:rsid w:val="00223B9C"/>
    <w:rsid w:val="00231234"/>
    <w:rsid w:val="002435A4"/>
    <w:rsid w:val="00244374"/>
    <w:rsid w:val="0024587E"/>
    <w:rsid w:val="0024602B"/>
    <w:rsid w:val="002471DD"/>
    <w:rsid w:val="00252AEC"/>
    <w:rsid w:val="00256966"/>
    <w:rsid w:val="00261356"/>
    <w:rsid w:val="002723CF"/>
    <w:rsid w:val="00272408"/>
    <w:rsid w:val="00282E60"/>
    <w:rsid w:val="00290FE1"/>
    <w:rsid w:val="002A1454"/>
    <w:rsid w:val="002A42DE"/>
    <w:rsid w:val="002A660A"/>
    <w:rsid w:val="002A7817"/>
    <w:rsid w:val="002B3EC8"/>
    <w:rsid w:val="002B590D"/>
    <w:rsid w:val="002C7092"/>
    <w:rsid w:val="002E011C"/>
    <w:rsid w:val="002E4C2F"/>
    <w:rsid w:val="002F1B42"/>
    <w:rsid w:val="002F33B7"/>
    <w:rsid w:val="002F4C3E"/>
    <w:rsid w:val="00316B25"/>
    <w:rsid w:val="00325A4B"/>
    <w:rsid w:val="00330A13"/>
    <w:rsid w:val="0033159A"/>
    <w:rsid w:val="003330C2"/>
    <w:rsid w:val="003350ED"/>
    <w:rsid w:val="00342D0E"/>
    <w:rsid w:val="003446BE"/>
    <w:rsid w:val="0035001B"/>
    <w:rsid w:val="0036382B"/>
    <w:rsid w:val="00370DD9"/>
    <w:rsid w:val="00371318"/>
    <w:rsid w:val="00371960"/>
    <w:rsid w:val="003A7357"/>
    <w:rsid w:val="003D15AE"/>
    <w:rsid w:val="003D5865"/>
    <w:rsid w:val="003D602A"/>
    <w:rsid w:val="003D6665"/>
    <w:rsid w:val="00407E31"/>
    <w:rsid w:val="00417B9C"/>
    <w:rsid w:val="0042491D"/>
    <w:rsid w:val="00425581"/>
    <w:rsid w:val="00430A12"/>
    <w:rsid w:val="00431F52"/>
    <w:rsid w:val="00436935"/>
    <w:rsid w:val="004452CF"/>
    <w:rsid w:val="004454B6"/>
    <w:rsid w:val="00451FFE"/>
    <w:rsid w:val="00452D23"/>
    <w:rsid w:val="00464F99"/>
    <w:rsid w:val="00484986"/>
    <w:rsid w:val="00490823"/>
    <w:rsid w:val="00496952"/>
    <w:rsid w:val="004A3B04"/>
    <w:rsid w:val="004A6249"/>
    <w:rsid w:val="004B68FC"/>
    <w:rsid w:val="004D4C3E"/>
    <w:rsid w:val="004E7829"/>
    <w:rsid w:val="004F1B80"/>
    <w:rsid w:val="004F38D0"/>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04BA"/>
    <w:rsid w:val="005827F8"/>
    <w:rsid w:val="0059071D"/>
    <w:rsid w:val="005969B0"/>
    <w:rsid w:val="005A3753"/>
    <w:rsid w:val="005B1212"/>
    <w:rsid w:val="005B4054"/>
    <w:rsid w:val="005C0C18"/>
    <w:rsid w:val="005C7E45"/>
    <w:rsid w:val="005D1FDF"/>
    <w:rsid w:val="005E1592"/>
    <w:rsid w:val="005E1B98"/>
    <w:rsid w:val="006017FA"/>
    <w:rsid w:val="00601806"/>
    <w:rsid w:val="00606E08"/>
    <w:rsid w:val="006145F4"/>
    <w:rsid w:val="006206EA"/>
    <w:rsid w:val="00633249"/>
    <w:rsid w:val="0063652A"/>
    <w:rsid w:val="00637FF3"/>
    <w:rsid w:val="00640B35"/>
    <w:rsid w:val="00645E30"/>
    <w:rsid w:val="0065281C"/>
    <w:rsid w:val="006668F2"/>
    <w:rsid w:val="00667ED6"/>
    <w:rsid w:val="0067210F"/>
    <w:rsid w:val="006758B7"/>
    <w:rsid w:val="006A3C8E"/>
    <w:rsid w:val="006B4021"/>
    <w:rsid w:val="006B5CE9"/>
    <w:rsid w:val="006C741F"/>
    <w:rsid w:val="006D0D90"/>
    <w:rsid w:val="006D4013"/>
    <w:rsid w:val="006F330A"/>
    <w:rsid w:val="006F40F2"/>
    <w:rsid w:val="00701DC6"/>
    <w:rsid w:val="007316C4"/>
    <w:rsid w:val="00732EE4"/>
    <w:rsid w:val="00742004"/>
    <w:rsid w:val="00742362"/>
    <w:rsid w:val="007468D5"/>
    <w:rsid w:val="00764A6F"/>
    <w:rsid w:val="00795068"/>
    <w:rsid w:val="007A466A"/>
    <w:rsid w:val="007B7452"/>
    <w:rsid w:val="007C1A2E"/>
    <w:rsid w:val="007D36A6"/>
    <w:rsid w:val="007D5311"/>
    <w:rsid w:val="007D6A90"/>
    <w:rsid w:val="007E264C"/>
    <w:rsid w:val="00803E4B"/>
    <w:rsid w:val="00813604"/>
    <w:rsid w:val="00824563"/>
    <w:rsid w:val="008308D9"/>
    <w:rsid w:val="00836ECA"/>
    <w:rsid w:val="00845124"/>
    <w:rsid w:val="0084608A"/>
    <w:rsid w:val="00855A6F"/>
    <w:rsid w:val="00857EFD"/>
    <w:rsid w:val="008616B6"/>
    <w:rsid w:val="00867BBA"/>
    <w:rsid w:val="00886579"/>
    <w:rsid w:val="008936C7"/>
    <w:rsid w:val="008A5D41"/>
    <w:rsid w:val="008B0D4D"/>
    <w:rsid w:val="008B2A3C"/>
    <w:rsid w:val="008B3CDB"/>
    <w:rsid w:val="008C20C8"/>
    <w:rsid w:val="008E210E"/>
    <w:rsid w:val="008E430D"/>
    <w:rsid w:val="008E5827"/>
    <w:rsid w:val="00905DD3"/>
    <w:rsid w:val="00906098"/>
    <w:rsid w:val="00915AB6"/>
    <w:rsid w:val="00917651"/>
    <w:rsid w:val="00953BFD"/>
    <w:rsid w:val="00957200"/>
    <w:rsid w:val="0095761E"/>
    <w:rsid w:val="0096314C"/>
    <w:rsid w:val="00996674"/>
    <w:rsid w:val="009A1695"/>
    <w:rsid w:val="009A5D36"/>
    <w:rsid w:val="009A5F72"/>
    <w:rsid w:val="009A72DB"/>
    <w:rsid w:val="009B45E3"/>
    <w:rsid w:val="009E1523"/>
    <w:rsid w:val="009E40CA"/>
    <w:rsid w:val="009E4A81"/>
    <w:rsid w:val="009E65C0"/>
    <w:rsid w:val="009E7D2C"/>
    <w:rsid w:val="009F0879"/>
    <w:rsid w:val="009F60D9"/>
    <w:rsid w:val="00A00BA0"/>
    <w:rsid w:val="00A037CD"/>
    <w:rsid w:val="00A216F9"/>
    <w:rsid w:val="00A27D4D"/>
    <w:rsid w:val="00A41E92"/>
    <w:rsid w:val="00A463D3"/>
    <w:rsid w:val="00A53559"/>
    <w:rsid w:val="00A82EDD"/>
    <w:rsid w:val="00A900DF"/>
    <w:rsid w:val="00A93372"/>
    <w:rsid w:val="00AA0FA0"/>
    <w:rsid w:val="00AA6DC4"/>
    <w:rsid w:val="00AB35A8"/>
    <w:rsid w:val="00AC3F68"/>
    <w:rsid w:val="00AD1D38"/>
    <w:rsid w:val="00AD7CA0"/>
    <w:rsid w:val="00AE3AF0"/>
    <w:rsid w:val="00AE41F7"/>
    <w:rsid w:val="00AF6B41"/>
    <w:rsid w:val="00B04D82"/>
    <w:rsid w:val="00B36662"/>
    <w:rsid w:val="00B4117D"/>
    <w:rsid w:val="00B50432"/>
    <w:rsid w:val="00B8123C"/>
    <w:rsid w:val="00B853CD"/>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41D61"/>
    <w:rsid w:val="00C43771"/>
    <w:rsid w:val="00C4463A"/>
    <w:rsid w:val="00C51C65"/>
    <w:rsid w:val="00C6106F"/>
    <w:rsid w:val="00C629CC"/>
    <w:rsid w:val="00C63D0F"/>
    <w:rsid w:val="00C7132A"/>
    <w:rsid w:val="00C71565"/>
    <w:rsid w:val="00C74B58"/>
    <w:rsid w:val="00C8209C"/>
    <w:rsid w:val="00C91614"/>
    <w:rsid w:val="00C96020"/>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378E"/>
    <w:rsid w:val="00D832F2"/>
    <w:rsid w:val="00DA46BD"/>
    <w:rsid w:val="00DB28D4"/>
    <w:rsid w:val="00DB37A2"/>
    <w:rsid w:val="00DB5FF0"/>
    <w:rsid w:val="00DC5EFD"/>
    <w:rsid w:val="00DE0103"/>
    <w:rsid w:val="00DE0835"/>
    <w:rsid w:val="00DE3A7E"/>
    <w:rsid w:val="00DE4135"/>
    <w:rsid w:val="00DE4259"/>
    <w:rsid w:val="00DE6026"/>
    <w:rsid w:val="00DF448D"/>
    <w:rsid w:val="00DF44F3"/>
    <w:rsid w:val="00E1179E"/>
    <w:rsid w:val="00E16BF3"/>
    <w:rsid w:val="00E242D2"/>
    <w:rsid w:val="00E24F51"/>
    <w:rsid w:val="00E27BFC"/>
    <w:rsid w:val="00E33ED8"/>
    <w:rsid w:val="00E35B94"/>
    <w:rsid w:val="00E46590"/>
    <w:rsid w:val="00E467A4"/>
    <w:rsid w:val="00E506B2"/>
    <w:rsid w:val="00E70EF5"/>
    <w:rsid w:val="00E740AD"/>
    <w:rsid w:val="00E96BDF"/>
    <w:rsid w:val="00EA135C"/>
    <w:rsid w:val="00EB4034"/>
    <w:rsid w:val="00EB6EB0"/>
    <w:rsid w:val="00ED202D"/>
    <w:rsid w:val="00ED410A"/>
    <w:rsid w:val="00ED6417"/>
    <w:rsid w:val="00EE463C"/>
    <w:rsid w:val="00F01EEE"/>
    <w:rsid w:val="00F052A4"/>
    <w:rsid w:val="00F16435"/>
    <w:rsid w:val="00F424CA"/>
    <w:rsid w:val="00F446C8"/>
    <w:rsid w:val="00F62C5C"/>
    <w:rsid w:val="00F66FBA"/>
    <w:rsid w:val="00F7286D"/>
    <w:rsid w:val="00F80426"/>
    <w:rsid w:val="00F86357"/>
    <w:rsid w:val="00F86E10"/>
    <w:rsid w:val="00FA1D61"/>
    <w:rsid w:val="00FA4A18"/>
    <w:rsid w:val="00FB0704"/>
    <w:rsid w:val="00FB3FA5"/>
    <w:rsid w:val="00FB5ED2"/>
    <w:rsid w:val="00FB6B13"/>
    <w:rsid w:val="00FC73DF"/>
    <w:rsid w:val="00FD70BE"/>
    <w:rsid w:val="00FE6D7C"/>
    <w:rsid w:val="0264055E"/>
    <w:rsid w:val="02867DB1"/>
    <w:rsid w:val="029729B6"/>
    <w:rsid w:val="0358398D"/>
    <w:rsid w:val="04B96A4C"/>
    <w:rsid w:val="05464D81"/>
    <w:rsid w:val="05681A7F"/>
    <w:rsid w:val="069C4E79"/>
    <w:rsid w:val="06C63181"/>
    <w:rsid w:val="06C867AC"/>
    <w:rsid w:val="07610F29"/>
    <w:rsid w:val="077943D1"/>
    <w:rsid w:val="088F6118"/>
    <w:rsid w:val="093E4C85"/>
    <w:rsid w:val="0A095984"/>
    <w:rsid w:val="0A546CFD"/>
    <w:rsid w:val="0AB4001B"/>
    <w:rsid w:val="0B995089"/>
    <w:rsid w:val="0C3E7B22"/>
    <w:rsid w:val="0CEF5D14"/>
    <w:rsid w:val="0D4634C6"/>
    <w:rsid w:val="0E6352A9"/>
    <w:rsid w:val="0F855B6E"/>
    <w:rsid w:val="0FD47B13"/>
    <w:rsid w:val="0FE263BA"/>
    <w:rsid w:val="101C207C"/>
    <w:rsid w:val="109D16D1"/>
    <w:rsid w:val="11C558AC"/>
    <w:rsid w:val="124F030C"/>
    <w:rsid w:val="12912E05"/>
    <w:rsid w:val="13021E3F"/>
    <w:rsid w:val="13991B3B"/>
    <w:rsid w:val="144349CA"/>
    <w:rsid w:val="14486024"/>
    <w:rsid w:val="15651629"/>
    <w:rsid w:val="175F4C67"/>
    <w:rsid w:val="17DF51B5"/>
    <w:rsid w:val="18604C91"/>
    <w:rsid w:val="198509FA"/>
    <w:rsid w:val="1A4245DA"/>
    <w:rsid w:val="1B81532C"/>
    <w:rsid w:val="1CAB4C1C"/>
    <w:rsid w:val="1E181AED"/>
    <w:rsid w:val="1E1B3921"/>
    <w:rsid w:val="1E9F5249"/>
    <w:rsid w:val="212165FA"/>
    <w:rsid w:val="21812D83"/>
    <w:rsid w:val="21E408A9"/>
    <w:rsid w:val="21F10022"/>
    <w:rsid w:val="22A93AEA"/>
    <w:rsid w:val="24757970"/>
    <w:rsid w:val="24A948B4"/>
    <w:rsid w:val="24CC02EC"/>
    <w:rsid w:val="26867B60"/>
    <w:rsid w:val="276E51C4"/>
    <w:rsid w:val="277C2575"/>
    <w:rsid w:val="27F154AD"/>
    <w:rsid w:val="28431B9D"/>
    <w:rsid w:val="2A9071E3"/>
    <w:rsid w:val="2AC25434"/>
    <w:rsid w:val="2D385E3D"/>
    <w:rsid w:val="2DE03FF9"/>
    <w:rsid w:val="2E007314"/>
    <w:rsid w:val="301F5880"/>
    <w:rsid w:val="306D1203"/>
    <w:rsid w:val="30F34CBA"/>
    <w:rsid w:val="31D42790"/>
    <w:rsid w:val="343F0843"/>
    <w:rsid w:val="35154ED0"/>
    <w:rsid w:val="35683BDD"/>
    <w:rsid w:val="363E3B8C"/>
    <w:rsid w:val="36CE0F9D"/>
    <w:rsid w:val="36CF7301"/>
    <w:rsid w:val="37DC2334"/>
    <w:rsid w:val="38642B77"/>
    <w:rsid w:val="38910B5D"/>
    <w:rsid w:val="390A1721"/>
    <w:rsid w:val="3B80428C"/>
    <w:rsid w:val="3C317126"/>
    <w:rsid w:val="3C3663D5"/>
    <w:rsid w:val="3CFB4CAB"/>
    <w:rsid w:val="3D504924"/>
    <w:rsid w:val="3D55714B"/>
    <w:rsid w:val="3D6313C6"/>
    <w:rsid w:val="3DC75867"/>
    <w:rsid w:val="3DE5069A"/>
    <w:rsid w:val="3E465FAD"/>
    <w:rsid w:val="3FA141F3"/>
    <w:rsid w:val="3FB86017"/>
    <w:rsid w:val="40104C12"/>
    <w:rsid w:val="40924374"/>
    <w:rsid w:val="411C3143"/>
    <w:rsid w:val="41566C15"/>
    <w:rsid w:val="423A41C8"/>
    <w:rsid w:val="42936744"/>
    <w:rsid w:val="42B70F03"/>
    <w:rsid w:val="43A643FA"/>
    <w:rsid w:val="457E0411"/>
    <w:rsid w:val="458F1A29"/>
    <w:rsid w:val="473232DB"/>
    <w:rsid w:val="4763732D"/>
    <w:rsid w:val="48E43FA6"/>
    <w:rsid w:val="49D51330"/>
    <w:rsid w:val="4C244078"/>
    <w:rsid w:val="4CDB0356"/>
    <w:rsid w:val="4D655D09"/>
    <w:rsid w:val="4D7866A7"/>
    <w:rsid w:val="4DEA3D63"/>
    <w:rsid w:val="4EC217CD"/>
    <w:rsid w:val="4ED107DE"/>
    <w:rsid w:val="4FC437C6"/>
    <w:rsid w:val="50365B27"/>
    <w:rsid w:val="505605DA"/>
    <w:rsid w:val="50C54111"/>
    <w:rsid w:val="514A216C"/>
    <w:rsid w:val="52440FDA"/>
    <w:rsid w:val="52DF1DC2"/>
    <w:rsid w:val="532838FB"/>
    <w:rsid w:val="535B2E50"/>
    <w:rsid w:val="548B3542"/>
    <w:rsid w:val="56E11498"/>
    <w:rsid w:val="574531E0"/>
    <w:rsid w:val="57E427B4"/>
    <w:rsid w:val="58B42698"/>
    <w:rsid w:val="59114FB0"/>
    <w:rsid w:val="592F6D53"/>
    <w:rsid w:val="5B076365"/>
    <w:rsid w:val="5B1A3D6F"/>
    <w:rsid w:val="5B93724D"/>
    <w:rsid w:val="5CD60B5E"/>
    <w:rsid w:val="5D2E62B6"/>
    <w:rsid w:val="5E413D91"/>
    <w:rsid w:val="5E9D12A7"/>
    <w:rsid w:val="5F9B4B6A"/>
    <w:rsid w:val="600F164C"/>
    <w:rsid w:val="60422D79"/>
    <w:rsid w:val="607B5C80"/>
    <w:rsid w:val="60C345CC"/>
    <w:rsid w:val="60D90F06"/>
    <w:rsid w:val="61E559A8"/>
    <w:rsid w:val="63F03163"/>
    <w:rsid w:val="64373C6C"/>
    <w:rsid w:val="659A1F3E"/>
    <w:rsid w:val="66FA2703"/>
    <w:rsid w:val="67421678"/>
    <w:rsid w:val="680B78E9"/>
    <w:rsid w:val="6A254C33"/>
    <w:rsid w:val="6D3867BF"/>
    <w:rsid w:val="6D756A1A"/>
    <w:rsid w:val="6D920153"/>
    <w:rsid w:val="6E5A0C83"/>
    <w:rsid w:val="70512559"/>
    <w:rsid w:val="70E70ADA"/>
    <w:rsid w:val="72165DE1"/>
    <w:rsid w:val="733B1C68"/>
    <w:rsid w:val="74914FA7"/>
    <w:rsid w:val="74C64922"/>
    <w:rsid w:val="75812B3A"/>
    <w:rsid w:val="75E050B1"/>
    <w:rsid w:val="76804F78"/>
    <w:rsid w:val="77167266"/>
    <w:rsid w:val="77CF39A0"/>
    <w:rsid w:val="780954C8"/>
    <w:rsid w:val="78D635FC"/>
    <w:rsid w:val="78F73403"/>
    <w:rsid w:val="7AEA5A84"/>
    <w:rsid w:val="7B1072F5"/>
    <w:rsid w:val="7BA6737E"/>
    <w:rsid w:val="7C590591"/>
    <w:rsid w:val="7D3905FD"/>
    <w:rsid w:val="7D573FDD"/>
    <w:rsid w:val="7EA47F98"/>
    <w:rsid w:val="7EB557DB"/>
    <w:rsid w:val="7F271629"/>
    <w:rsid w:val="7F455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spacing w:line="240" w:lineRule="atLeast"/>
      <w:jc w:val="right"/>
      <w:outlineLvl w:val="0"/>
    </w:pPr>
    <w:rPr>
      <w:b/>
      <w:bCs/>
      <w:sz w:val="28"/>
    </w:rPr>
  </w:style>
  <w:style w:type="paragraph" w:styleId="3">
    <w:name w:val="heading 2"/>
    <w:basedOn w:val="1"/>
    <w:next w:val="1"/>
    <w:link w:val="48"/>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1"/>
    <w:qFormat/>
    <w:uiPriority w:val="0"/>
    <w:pPr>
      <w:keepNext/>
      <w:keepLines/>
      <w:spacing w:line="360" w:lineRule="auto"/>
      <w:outlineLvl w:val="4"/>
    </w:pPr>
    <w:rPr>
      <w:rFonts w:eastAsia="黑体"/>
      <w:szCs w:val="20"/>
    </w:rPr>
  </w:style>
  <w:style w:type="paragraph" w:styleId="7">
    <w:name w:val="heading 6"/>
    <w:basedOn w:val="1"/>
    <w:next w:val="1"/>
    <w:link w:val="52"/>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3"/>
    <w:qFormat/>
    <w:uiPriority w:val="0"/>
    <w:pPr>
      <w:keepNext/>
      <w:keepLines/>
      <w:spacing w:before="240" w:after="64" w:line="317" w:lineRule="auto"/>
      <w:outlineLvl w:val="6"/>
    </w:pPr>
    <w:rPr>
      <w:b/>
      <w:sz w:val="24"/>
      <w:szCs w:val="20"/>
    </w:rPr>
  </w:style>
  <w:style w:type="paragraph" w:styleId="9">
    <w:name w:val="heading 8"/>
    <w:basedOn w:val="1"/>
    <w:next w:val="1"/>
    <w:link w:val="5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5"/>
    <w:qFormat/>
    <w:uiPriority w:val="0"/>
    <w:pPr>
      <w:keepNext/>
      <w:keepLines/>
      <w:spacing w:before="240" w:after="64" w:line="317" w:lineRule="auto"/>
      <w:outlineLvl w:val="8"/>
    </w:pPr>
    <w:rPr>
      <w:rFonts w:ascii="Arial" w:hAnsi="Arial" w:eastAsia="黑体"/>
      <w:szCs w:val="20"/>
    </w:rPr>
  </w:style>
  <w:style w:type="character" w:default="1" w:styleId="40">
    <w:name w:val="Default Paragraph Font"/>
    <w:semiHidden/>
    <w:unhideWhenUsed/>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8"/>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3"/>
    <w:qFormat/>
    <w:uiPriority w:val="0"/>
    <w:rPr>
      <w:rFonts w:ascii="宋体"/>
      <w:sz w:val="18"/>
      <w:szCs w:val="18"/>
    </w:rPr>
  </w:style>
  <w:style w:type="paragraph" w:styleId="16">
    <w:name w:val="annotation text"/>
    <w:basedOn w:val="1"/>
    <w:link w:val="69"/>
    <w:qFormat/>
    <w:uiPriority w:val="99"/>
    <w:pPr>
      <w:jc w:val="left"/>
    </w:pPr>
  </w:style>
  <w:style w:type="paragraph" w:styleId="17">
    <w:name w:val="Body Text"/>
    <w:basedOn w:val="1"/>
    <w:link w:val="76"/>
    <w:unhideWhenUsed/>
    <w:qFormat/>
    <w:uiPriority w:val="99"/>
    <w:pPr>
      <w:spacing w:after="120"/>
    </w:pPr>
  </w:style>
  <w:style w:type="paragraph" w:styleId="18">
    <w:name w:val="Body Text Indent"/>
    <w:basedOn w:val="1"/>
    <w:link w:val="79"/>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80"/>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1"/>
    <w:qFormat/>
    <w:uiPriority w:val="0"/>
    <w:pPr>
      <w:ind w:left="100" w:leftChars="2500"/>
    </w:pPr>
    <w:rPr>
      <w:kern w:val="0"/>
      <w:sz w:val="28"/>
    </w:rPr>
  </w:style>
  <w:style w:type="paragraph" w:styleId="24">
    <w:name w:val="Body Text Indent 2"/>
    <w:basedOn w:val="1"/>
    <w:link w:val="82"/>
    <w:qFormat/>
    <w:uiPriority w:val="0"/>
    <w:pPr>
      <w:ind w:firstLine="420"/>
    </w:pPr>
    <w:rPr>
      <w:rFonts w:ascii="宋体"/>
      <w:kern w:val="0"/>
      <w:sz w:val="20"/>
    </w:rPr>
  </w:style>
  <w:style w:type="paragraph" w:styleId="25">
    <w:name w:val="Balloon Text"/>
    <w:basedOn w:val="1"/>
    <w:link w:val="46"/>
    <w:unhideWhenUsed/>
    <w:qFormat/>
    <w:uiPriority w:val="0"/>
    <w:rPr>
      <w:sz w:val="18"/>
      <w:szCs w:val="18"/>
    </w:rPr>
  </w:style>
  <w:style w:type="paragraph" w:styleId="26">
    <w:name w:val="footer"/>
    <w:basedOn w:val="1"/>
    <w:link w:val="59"/>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3"/>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6"/>
    <w:qFormat/>
    <w:uiPriority w:val="0"/>
    <w:pPr>
      <w:spacing w:line="360" w:lineRule="auto"/>
      <w:jc w:val="center"/>
    </w:pPr>
    <w:rPr>
      <w:rFonts w:ascii="宋体" w:hAnsi="宋体"/>
      <w:szCs w:val="20"/>
    </w:rPr>
  </w:style>
  <w:style w:type="paragraph" w:styleId="36">
    <w:name w:val="annotation subject"/>
    <w:basedOn w:val="16"/>
    <w:next w:val="16"/>
    <w:link w:val="70"/>
    <w:qFormat/>
    <w:uiPriority w:val="0"/>
    <w:rPr>
      <w:b/>
      <w:bCs/>
    </w:rPr>
  </w:style>
  <w:style w:type="paragraph" w:styleId="37">
    <w:name w:val="Body Text First Indent"/>
    <w:basedOn w:val="17"/>
    <w:link w:val="77"/>
    <w:qFormat/>
    <w:uiPriority w:val="0"/>
    <w:pPr>
      <w:ind w:firstLine="420" w:firstLineChars="100"/>
    </w:pPr>
    <w:rPr>
      <w:rFonts w:hint="eastAsia"/>
    </w:rPr>
  </w:style>
  <w:style w:type="table" w:styleId="39">
    <w:name w:val="Table Grid"/>
    <w:basedOn w:val="38"/>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22"/>
    <w:rPr>
      <w:b/>
      <w:bCs/>
    </w:rPr>
  </w:style>
  <w:style w:type="character" w:styleId="42">
    <w:name w:val="page number"/>
    <w:qFormat/>
    <w:uiPriority w:val="0"/>
    <w:rPr>
      <w:rFonts w:hint="default" w:ascii="Times New Roman"/>
    </w:rPr>
  </w:style>
  <w:style w:type="character" w:styleId="43">
    <w:name w:val="FollowedHyperlink"/>
    <w:qFormat/>
    <w:uiPriority w:val="0"/>
    <w:rPr>
      <w:color w:val="954F72"/>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批注框文本 字符"/>
    <w:basedOn w:val="40"/>
    <w:link w:val="25"/>
    <w:qFormat/>
    <w:uiPriority w:val="99"/>
    <w:rPr>
      <w:sz w:val="18"/>
      <w:szCs w:val="18"/>
    </w:rPr>
  </w:style>
  <w:style w:type="character" w:customStyle="1" w:styleId="47">
    <w:name w:val="标题 1 字符"/>
    <w:basedOn w:val="40"/>
    <w:link w:val="2"/>
    <w:qFormat/>
    <w:uiPriority w:val="0"/>
    <w:rPr>
      <w:rFonts w:ascii="Times New Roman" w:hAnsi="Times New Roman" w:eastAsia="宋体" w:cs="Times New Roman"/>
      <w:b/>
      <w:bCs/>
      <w:sz w:val="28"/>
      <w:szCs w:val="24"/>
    </w:rPr>
  </w:style>
  <w:style w:type="character" w:customStyle="1" w:styleId="48">
    <w:name w:val="标题 2 字符"/>
    <w:basedOn w:val="40"/>
    <w:link w:val="3"/>
    <w:qFormat/>
    <w:uiPriority w:val="0"/>
    <w:rPr>
      <w:rFonts w:ascii="Times New Roman" w:hAnsi="Times New Roman" w:eastAsia="黑体" w:cs="Times New Roman"/>
      <w:szCs w:val="20"/>
    </w:rPr>
  </w:style>
  <w:style w:type="character" w:customStyle="1" w:styleId="49">
    <w:name w:val="标题 3 字符"/>
    <w:basedOn w:val="40"/>
    <w:link w:val="4"/>
    <w:qFormat/>
    <w:uiPriority w:val="9"/>
    <w:rPr>
      <w:rFonts w:ascii="Calibri" w:hAnsi="Calibri" w:eastAsia="宋体" w:cs="Times New Roman"/>
      <w:b/>
      <w:bCs/>
      <w:sz w:val="32"/>
      <w:szCs w:val="32"/>
    </w:rPr>
  </w:style>
  <w:style w:type="character" w:customStyle="1" w:styleId="50">
    <w:name w:val="标题 4 字符"/>
    <w:basedOn w:val="40"/>
    <w:link w:val="5"/>
    <w:qFormat/>
    <w:uiPriority w:val="0"/>
    <w:rPr>
      <w:rFonts w:ascii="Arial" w:hAnsi="Arial" w:eastAsia="黑体" w:cs="Times New Roman"/>
      <w:b/>
      <w:sz w:val="28"/>
      <w:szCs w:val="20"/>
    </w:rPr>
  </w:style>
  <w:style w:type="character" w:customStyle="1" w:styleId="51">
    <w:name w:val="标题 5 字符"/>
    <w:basedOn w:val="40"/>
    <w:link w:val="6"/>
    <w:qFormat/>
    <w:uiPriority w:val="0"/>
    <w:rPr>
      <w:rFonts w:ascii="Times New Roman" w:hAnsi="Times New Roman" w:eastAsia="黑体" w:cs="Times New Roman"/>
      <w:szCs w:val="20"/>
    </w:rPr>
  </w:style>
  <w:style w:type="character" w:customStyle="1" w:styleId="52">
    <w:name w:val="标题 6 字符"/>
    <w:basedOn w:val="40"/>
    <w:link w:val="7"/>
    <w:qFormat/>
    <w:uiPriority w:val="0"/>
    <w:rPr>
      <w:rFonts w:ascii="Arial" w:hAnsi="Arial" w:eastAsia="黑体" w:cs="Times New Roman"/>
      <w:b/>
      <w:sz w:val="24"/>
      <w:szCs w:val="20"/>
    </w:rPr>
  </w:style>
  <w:style w:type="character" w:customStyle="1" w:styleId="53">
    <w:name w:val="标题 7 字符"/>
    <w:basedOn w:val="40"/>
    <w:link w:val="8"/>
    <w:qFormat/>
    <w:uiPriority w:val="0"/>
    <w:rPr>
      <w:rFonts w:ascii="Times New Roman" w:hAnsi="Times New Roman" w:eastAsia="宋体" w:cs="Times New Roman"/>
      <w:b/>
      <w:sz w:val="24"/>
      <w:szCs w:val="20"/>
    </w:rPr>
  </w:style>
  <w:style w:type="character" w:customStyle="1" w:styleId="54">
    <w:name w:val="标题 8 字符"/>
    <w:basedOn w:val="40"/>
    <w:link w:val="9"/>
    <w:qFormat/>
    <w:uiPriority w:val="0"/>
    <w:rPr>
      <w:rFonts w:ascii="Arial" w:hAnsi="Arial" w:eastAsia="黑体" w:cs="Times New Roman"/>
      <w:sz w:val="24"/>
      <w:szCs w:val="20"/>
    </w:rPr>
  </w:style>
  <w:style w:type="character" w:customStyle="1" w:styleId="55">
    <w:name w:val="标题 9 字符"/>
    <w:basedOn w:val="40"/>
    <w:link w:val="10"/>
    <w:qFormat/>
    <w:uiPriority w:val="0"/>
    <w:rPr>
      <w:rFonts w:ascii="Arial" w:hAnsi="Arial" w:eastAsia="黑体" w:cs="Times New Roman"/>
      <w:szCs w:val="20"/>
    </w:rPr>
  </w:style>
  <w:style w:type="paragraph" w:customStyle="1" w:styleId="56">
    <w:name w:val="样式6"/>
    <w:basedOn w:val="1"/>
    <w:link w:val="57"/>
    <w:qFormat/>
    <w:uiPriority w:val="0"/>
    <w:pPr>
      <w:topLinePunct/>
      <w:spacing w:before="460" w:after="460" w:line="480" w:lineRule="exact"/>
      <w:jc w:val="center"/>
    </w:pPr>
    <w:rPr>
      <w:rFonts w:eastAsia="黑体"/>
      <w:sz w:val="32"/>
      <w:szCs w:val="20"/>
    </w:rPr>
  </w:style>
  <w:style w:type="character" w:customStyle="1" w:styleId="57">
    <w:name w:val="样式6 Char"/>
    <w:basedOn w:val="40"/>
    <w:link w:val="56"/>
    <w:qFormat/>
    <w:uiPriority w:val="0"/>
    <w:rPr>
      <w:rFonts w:ascii="Times New Roman" w:hAnsi="Times New Roman" w:eastAsia="黑体" w:cs="Times New Roman"/>
      <w:sz w:val="32"/>
      <w:szCs w:val="20"/>
    </w:rPr>
  </w:style>
  <w:style w:type="character" w:customStyle="1" w:styleId="58">
    <w:name w:val="页眉 字符"/>
    <w:basedOn w:val="40"/>
    <w:link w:val="27"/>
    <w:qFormat/>
    <w:uiPriority w:val="0"/>
    <w:rPr>
      <w:rFonts w:ascii="Times New Roman" w:hAnsi="Times New Roman" w:eastAsia="宋体" w:cs="Times New Roman"/>
      <w:sz w:val="18"/>
      <w:szCs w:val="18"/>
    </w:rPr>
  </w:style>
  <w:style w:type="character" w:customStyle="1" w:styleId="59">
    <w:name w:val="页脚 字符"/>
    <w:basedOn w:val="40"/>
    <w:link w:val="26"/>
    <w:qFormat/>
    <w:uiPriority w:val="0"/>
    <w:rPr>
      <w:rFonts w:ascii="Times New Roman" w:hAnsi="Times New Roman" w:eastAsia="宋体" w:cs="Times New Roman"/>
      <w:sz w:val="18"/>
      <w:szCs w:val="18"/>
    </w:rPr>
  </w:style>
  <w:style w:type="paragraph" w:customStyle="1" w:styleId="60">
    <w:name w:val="样式2"/>
    <w:basedOn w:val="1"/>
    <w:qFormat/>
    <w:uiPriority w:val="0"/>
    <w:pPr>
      <w:widowControl/>
      <w:spacing w:line="312" w:lineRule="exact"/>
    </w:pPr>
    <w:rPr>
      <w:rFonts w:ascii="EU-F1" w:eastAsia="黑体"/>
      <w:color w:val="000000"/>
      <w:kern w:val="44"/>
      <w:szCs w:val="21"/>
    </w:rPr>
  </w:style>
  <w:style w:type="paragraph" w:customStyle="1" w:styleId="61">
    <w:name w:val="样式1"/>
    <w:basedOn w:val="1"/>
    <w:link w:val="232"/>
    <w:qFormat/>
    <w:uiPriority w:val="0"/>
    <w:pPr>
      <w:spacing w:line="480" w:lineRule="auto"/>
    </w:pPr>
    <w:rPr>
      <w:rFonts w:ascii="EU-F1" w:eastAsia="黑体"/>
      <w:szCs w:val="21"/>
    </w:rPr>
  </w:style>
  <w:style w:type="paragraph" w:customStyle="1" w:styleId="62">
    <w:name w:val="表头"/>
    <w:basedOn w:val="1"/>
    <w:qFormat/>
    <w:uiPriority w:val="0"/>
    <w:pPr>
      <w:spacing w:before="160" w:after="60" w:line="312" w:lineRule="exact"/>
      <w:jc w:val="center"/>
    </w:pPr>
    <w:rPr>
      <w:rFonts w:ascii="EU-F1" w:eastAsia="黑体"/>
      <w:szCs w:val="21"/>
    </w:rPr>
  </w:style>
  <w:style w:type="paragraph" w:customStyle="1" w:styleId="63">
    <w:name w:val="图片"/>
    <w:basedOn w:val="1"/>
    <w:qFormat/>
    <w:uiPriority w:val="0"/>
    <w:pPr>
      <w:snapToGrid w:val="0"/>
      <w:spacing w:before="100" w:after="60"/>
      <w:jc w:val="center"/>
    </w:pPr>
  </w:style>
  <w:style w:type="paragraph" w:customStyle="1" w:styleId="64">
    <w:name w:val="图说"/>
    <w:basedOn w:val="1"/>
    <w:qFormat/>
    <w:uiPriority w:val="0"/>
    <w:pPr>
      <w:topLinePunct/>
      <w:spacing w:before="60" w:after="160" w:line="312" w:lineRule="exact"/>
      <w:jc w:val="center"/>
    </w:pPr>
    <w:rPr>
      <w:rFonts w:ascii="EU-F1" w:eastAsia="黑体"/>
      <w:szCs w:val="21"/>
    </w:rPr>
  </w:style>
  <w:style w:type="paragraph" w:customStyle="1" w:styleId="65">
    <w:name w:val="Char3"/>
    <w:basedOn w:val="1"/>
    <w:semiHidden/>
    <w:qFormat/>
    <w:uiPriority w:val="0"/>
    <w:rPr>
      <w:szCs w:val="20"/>
    </w:rPr>
  </w:style>
  <w:style w:type="paragraph" w:customStyle="1" w:styleId="66">
    <w:name w:val="样式4"/>
    <w:basedOn w:val="1"/>
    <w:qFormat/>
    <w:uiPriority w:val="0"/>
    <w:pPr>
      <w:spacing w:before="240" w:line="600" w:lineRule="exact"/>
      <w:jc w:val="center"/>
    </w:pPr>
    <w:rPr>
      <w:rFonts w:eastAsia="黑体"/>
      <w:sz w:val="54"/>
      <w:szCs w:val="54"/>
    </w:rPr>
  </w:style>
  <w:style w:type="paragraph" w:customStyle="1" w:styleId="67">
    <w:name w:val="样式4a"/>
    <w:basedOn w:val="1"/>
    <w:qFormat/>
    <w:uiPriority w:val="0"/>
    <w:pPr>
      <w:spacing w:line="600" w:lineRule="exact"/>
      <w:ind w:left="-113" w:right="-113"/>
      <w:jc w:val="center"/>
    </w:pPr>
    <w:rPr>
      <w:rFonts w:eastAsia="黑体"/>
      <w:sz w:val="54"/>
      <w:szCs w:val="54"/>
    </w:rPr>
  </w:style>
  <w:style w:type="paragraph" w:customStyle="1" w:styleId="68">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9">
    <w:name w:val="批注文字 字符"/>
    <w:basedOn w:val="40"/>
    <w:link w:val="16"/>
    <w:qFormat/>
    <w:uiPriority w:val="99"/>
    <w:rPr>
      <w:rFonts w:ascii="Times New Roman" w:hAnsi="Times New Roman" w:eastAsia="宋体" w:cs="Times New Roman"/>
      <w:szCs w:val="24"/>
    </w:rPr>
  </w:style>
  <w:style w:type="character" w:customStyle="1" w:styleId="70">
    <w:name w:val="批注主题 字符"/>
    <w:basedOn w:val="69"/>
    <w:link w:val="36"/>
    <w:qFormat/>
    <w:uiPriority w:val="0"/>
    <w:rPr>
      <w:rFonts w:ascii="Times New Roman" w:hAnsi="Times New Roman" w:eastAsia="宋体" w:cs="Times New Roman"/>
      <w:b/>
      <w:bCs/>
      <w:szCs w:val="24"/>
    </w:rPr>
  </w:style>
  <w:style w:type="paragraph" w:customStyle="1" w:styleId="7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默认段落字体 Para Char Char Char Char Char"/>
    <w:basedOn w:val="1"/>
    <w:semiHidden/>
    <w:qFormat/>
    <w:uiPriority w:val="0"/>
    <w:rPr>
      <w:rFonts w:ascii="宋体" w:hAnsi="宋体"/>
      <w:b/>
      <w:color w:val="000000"/>
      <w:sz w:val="24"/>
    </w:rPr>
  </w:style>
  <w:style w:type="character" w:customStyle="1" w:styleId="73">
    <w:name w:val="文档结构图 字符"/>
    <w:basedOn w:val="40"/>
    <w:link w:val="15"/>
    <w:qFormat/>
    <w:uiPriority w:val="0"/>
    <w:rPr>
      <w:rFonts w:ascii="宋体" w:hAnsi="Times New Roman" w:eastAsia="宋体" w:cs="Times New Roman"/>
      <w:sz w:val="18"/>
      <w:szCs w:val="18"/>
    </w:rPr>
  </w:style>
  <w:style w:type="character" w:customStyle="1" w:styleId="74">
    <w:name w:val="high-light-bg"/>
    <w:basedOn w:val="40"/>
    <w:qFormat/>
    <w:uiPriority w:val="0"/>
  </w:style>
  <w:style w:type="character" w:customStyle="1" w:styleId="75">
    <w:name w:val="apple-converted-space"/>
    <w:basedOn w:val="40"/>
    <w:qFormat/>
    <w:uiPriority w:val="0"/>
  </w:style>
  <w:style w:type="character" w:customStyle="1" w:styleId="76">
    <w:name w:val="正文文本 字符"/>
    <w:basedOn w:val="40"/>
    <w:link w:val="17"/>
    <w:qFormat/>
    <w:uiPriority w:val="99"/>
    <w:rPr>
      <w:rFonts w:ascii="Times New Roman" w:hAnsi="Times New Roman" w:eastAsia="宋体" w:cs="Times New Roman"/>
      <w:szCs w:val="24"/>
    </w:rPr>
  </w:style>
  <w:style w:type="character" w:customStyle="1" w:styleId="77">
    <w:name w:val="正文文本首行缩进 字符"/>
    <w:basedOn w:val="76"/>
    <w:link w:val="37"/>
    <w:qFormat/>
    <w:uiPriority w:val="0"/>
    <w:rPr>
      <w:rFonts w:ascii="Times New Roman" w:hAnsi="Times New Roman" w:eastAsia="宋体" w:cs="Times New Roman"/>
      <w:szCs w:val="24"/>
    </w:rPr>
  </w:style>
  <w:style w:type="character" w:customStyle="1" w:styleId="78">
    <w:name w:val="题注 字符"/>
    <w:link w:val="13"/>
    <w:qFormat/>
    <w:uiPriority w:val="0"/>
    <w:rPr>
      <w:rFonts w:ascii="Cambria" w:hAnsi="Cambria" w:eastAsia="黑体" w:cs="Times New Roman"/>
      <w:sz w:val="20"/>
      <w:szCs w:val="20"/>
    </w:rPr>
  </w:style>
  <w:style w:type="character" w:customStyle="1" w:styleId="79">
    <w:name w:val="正文文本缩进 字符"/>
    <w:basedOn w:val="40"/>
    <w:link w:val="18"/>
    <w:qFormat/>
    <w:uiPriority w:val="0"/>
    <w:rPr>
      <w:rFonts w:ascii="Times New Roman" w:hAnsi="Times New Roman" w:eastAsia="宋体" w:cs="Times New Roman"/>
      <w:color w:val="000000"/>
      <w:kern w:val="0"/>
      <w:sz w:val="20"/>
      <w:szCs w:val="24"/>
    </w:rPr>
  </w:style>
  <w:style w:type="character" w:customStyle="1" w:styleId="80">
    <w:name w:val="纯文本 字符"/>
    <w:basedOn w:val="40"/>
    <w:link w:val="21"/>
    <w:qFormat/>
    <w:uiPriority w:val="0"/>
    <w:rPr>
      <w:rFonts w:ascii="宋体" w:hAnsi="Courier New" w:eastAsia="宋体" w:cs="Times New Roman"/>
      <w:szCs w:val="20"/>
    </w:rPr>
  </w:style>
  <w:style w:type="character" w:customStyle="1" w:styleId="81">
    <w:name w:val="日期 字符"/>
    <w:basedOn w:val="40"/>
    <w:link w:val="23"/>
    <w:qFormat/>
    <w:uiPriority w:val="0"/>
    <w:rPr>
      <w:rFonts w:ascii="Times New Roman" w:hAnsi="Times New Roman" w:eastAsia="宋体" w:cs="Times New Roman"/>
      <w:kern w:val="0"/>
      <w:sz w:val="28"/>
      <w:szCs w:val="24"/>
    </w:rPr>
  </w:style>
  <w:style w:type="character" w:customStyle="1" w:styleId="82">
    <w:name w:val="正文文本缩进 2 字符"/>
    <w:basedOn w:val="40"/>
    <w:link w:val="24"/>
    <w:qFormat/>
    <w:uiPriority w:val="0"/>
    <w:rPr>
      <w:rFonts w:ascii="宋体" w:hAnsi="Times New Roman" w:eastAsia="宋体" w:cs="Times New Roman"/>
      <w:kern w:val="0"/>
      <w:sz w:val="20"/>
      <w:szCs w:val="24"/>
    </w:rPr>
  </w:style>
  <w:style w:type="character" w:customStyle="1" w:styleId="83">
    <w:name w:val="正文文本缩进 3 字符"/>
    <w:basedOn w:val="40"/>
    <w:link w:val="31"/>
    <w:qFormat/>
    <w:uiPriority w:val="0"/>
    <w:rPr>
      <w:rFonts w:ascii="Times New Roman" w:hAnsi="Times New Roman" w:eastAsia="宋体" w:cs="Times New Roman"/>
      <w:color w:val="0000FF"/>
      <w:kern w:val="0"/>
      <w:sz w:val="20"/>
      <w:szCs w:val="21"/>
    </w:rPr>
  </w:style>
  <w:style w:type="character" w:customStyle="1" w:styleId="84">
    <w:name w:val="标题 Char"/>
    <w:basedOn w:val="40"/>
    <w:link w:val="85"/>
    <w:qFormat/>
    <w:uiPriority w:val="0"/>
    <w:rPr>
      <w:rFonts w:eastAsia="宋体" w:asciiTheme="majorHAnsi" w:hAnsiTheme="majorHAnsi" w:cstheme="majorBidi"/>
      <w:b/>
      <w:bCs/>
      <w:sz w:val="32"/>
      <w:szCs w:val="32"/>
    </w:rPr>
  </w:style>
  <w:style w:type="paragraph" w:customStyle="1" w:styleId="85">
    <w:name w:val="标题5"/>
    <w:basedOn w:val="1"/>
    <w:next w:val="1"/>
    <w:link w:val="84"/>
    <w:unhideWhenUsed/>
    <w:qFormat/>
    <w:uiPriority w:val="0"/>
    <w:pPr>
      <w:spacing w:line="360" w:lineRule="auto"/>
      <w:jc w:val="center"/>
    </w:pPr>
    <w:rPr>
      <w:rFonts w:asciiTheme="majorHAnsi" w:hAnsiTheme="majorHAnsi" w:cstheme="majorBidi"/>
      <w:b/>
      <w:bCs/>
      <w:sz w:val="32"/>
      <w:szCs w:val="32"/>
    </w:rPr>
  </w:style>
  <w:style w:type="character" w:customStyle="1" w:styleId="86">
    <w:name w:val="标题 字符"/>
    <w:link w:val="35"/>
    <w:qFormat/>
    <w:locked/>
    <w:uiPriority w:val="0"/>
    <w:rPr>
      <w:rFonts w:ascii="宋体" w:hAnsi="宋体" w:eastAsia="宋体" w:cs="Times New Roman"/>
      <w:szCs w:val="20"/>
    </w:rPr>
  </w:style>
  <w:style w:type="paragraph" w:customStyle="1" w:styleId="87">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8">
    <w:name w:val="默认段落字体 Para Char Char Char Char"/>
    <w:basedOn w:val="1"/>
    <w:qFormat/>
    <w:uiPriority w:val="0"/>
  </w:style>
  <w:style w:type="paragraph" w:customStyle="1" w:styleId="89">
    <w:name w:val="正文内容"/>
    <w:basedOn w:val="1"/>
    <w:qFormat/>
    <w:uiPriority w:val="0"/>
    <w:pPr>
      <w:adjustRightInd w:val="0"/>
      <w:snapToGrid w:val="0"/>
    </w:pPr>
    <w:rPr>
      <w:rFonts w:ascii="宋体" w:hAnsi="宋体"/>
      <w:sz w:val="18"/>
      <w:szCs w:val="21"/>
    </w:rPr>
  </w:style>
  <w:style w:type="paragraph" w:customStyle="1" w:styleId="90">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1">
    <w:name w:val="p17"/>
    <w:basedOn w:val="1"/>
    <w:qFormat/>
    <w:uiPriority w:val="0"/>
    <w:pPr>
      <w:widowControl/>
    </w:pPr>
    <w:rPr>
      <w:kern w:val="0"/>
      <w:szCs w:val="21"/>
    </w:rPr>
  </w:style>
  <w:style w:type="paragraph" w:customStyle="1" w:styleId="92">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3">
    <w:name w:val="小五黑体"/>
    <w:basedOn w:val="1"/>
    <w:qFormat/>
    <w:uiPriority w:val="0"/>
    <w:pPr>
      <w:spacing w:line="318" w:lineRule="exact"/>
      <w:jc w:val="center"/>
    </w:pPr>
    <w:rPr>
      <w:rFonts w:ascii="汉仪中黑简" w:eastAsia="汉仪中黑简"/>
      <w:bCs/>
      <w:sz w:val="18"/>
      <w:szCs w:val="21"/>
    </w:rPr>
  </w:style>
  <w:style w:type="paragraph" w:customStyle="1" w:styleId="94">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5">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6">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7">
    <w:name w:val="表名"/>
    <w:basedOn w:val="13"/>
    <w:link w:val="98"/>
    <w:qFormat/>
    <w:uiPriority w:val="0"/>
    <w:pPr>
      <w:keepNext/>
      <w:spacing w:line="240" w:lineRule="auto"/>
      <w:ind w:firstLine="361" w:firstLineChars="150"/>
      <w:jc w:val="left"/>
    </w:pPr>
    <w:rPr>
      <w:rFonts w:ascii="黑体" w:hAnsi="黑体"/>
      <w:b/>
      <w:sz w:val="21"/>
      <w:szCs w:val="24"/>
    </w:rPr>
  </w:style>
  <w:style w:type="character" w:customStyle="1" w:styleId="98">
    <w:name w:val="表名 Char Char"/>
    <w:link w:val="97"/>
    <w:qFormat/>
    <w:uiPriority w:val="0"/>
    <w:rPr>
      <w:rFonts w:ascii="黑体" w:hAnsi="黑体" w:eastAsia="黑体" w:cs="Times New Roman"/>
      <w:b/>
      <w:szCs w:val="24"/>
    </w:rPr>
  </w:style>
  <w:style w:type="paragraph" w:customStyle="1" w:styleId="99">
    <w:name w:val="批注框文本 Char Char"/>
    <w:basedOn w:val="1"/>
    <w:qFormat/>
    <w:uiPriority w:val="99"/>
    <w:pPr>
      <w:ind w:firstLine="200" w:firstLineChars="200"/>
    </w:pPr>
    <w:rPr>
      <w:rFonts w:ascii="Arial" w:hAnsi="Arial"/>
      <w:sz w:val="18"/>
      <w:szCs w:val="18"/>
    </w:rPr>
  </w:style>
  <w:style w:type="paragraph" w:customStyle="1" w:styleId="100">
    <w:name w:val="五号黑体"/>
    <w:basedOn w:val="1"/>
    <w:qFormat/>
    <w:uiPriority w:val="0"/>
    <w:pPr>
      <w:adjustRightInd w:val="0"/>
      <w:snapToGrid w:val="0"/>
      <w:spacing w:line="320" w:lineRule="exact"/>
    </w:pPr>
    <w:rPr>
      <w:rFonts w:eastAsia="汉仪中黑简"/>
      <w:bCs/>
      <w:szCs w:val="21"/>
    </w:rPr>
  </w:style>
  <w:style w:type="paragraph" w:customStyle="1" w:styleId="101">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2">
    <w:name w:val="批注框文本1"/>
    <w:basedOn w:val="1"/>
    <w:qFormat/>
    <w:uiPriority w:val="0"/>
    <w:rPr>
      <w:rFonts w:ascii="方正小标宋_GBK" w:hAnsi="宋体" w:eastAsia="方正小标宋_GBK"/>
      <w:b/>
      <w:sz w:val="18"/>
      <w:szCs w:val="20"/>
    </w:rPr>
  </w:style>
  <w:style w:type="paragraph" w:customStyle="1" w:styleId="10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4">
    <w:name w:val="列出段落1"/>
    <w:basedOn w:val="1"/>
    <w:qFormat/>
    <w:uiPriority w:val="0"/>
    <w:pPr>
      <w:ind w:firstLine="420" w:firstLineChars="200"/>
    </w:pPr>
  </w:style>
  <w:style w:type="paragraph" w:customStyle="1" w:styleId="105">
    <w:name w:val="小四大宋"/>
    <w:basedOn w:val="1"/>
    <w:qFormat/>
    <w:uiPriority w:val="0"/>
    <w:pPr>
      <w:spacing w:line="320" w:lineRule="exact"/>
    </w:pPr>
    <w:rPr>
      <w:rFonts w:eastAsia="汉仪大宋简"/>
      <w:bCs/>
      <w:sz w:val="24"/>
      <w:szCs w:val="21"/>
    </w:rPr>
  </w:style>
  <w:style w:type="paragraph" w:customStyle="1" w:styleId="106">
    <w:name w:val="修订11"/>
    <w:qFormat/>
    <w:uiPriority w:val="0"/>
    <w:rPr>
      <w:rFonts w:ascii="Arial" w:hAnsi="Arial" w:eastAsia="宋体" w:cs="Times New Roman"/>
      <w:kern w:val="2"/>
      <w:sz w:val="21"/>
      <w:szCs w:val="22"/>
      <w:lang w:val="en-US" w:eastAsia="zh-CN" w:bidi="ar-SA"/>
    </w:rPr>
  </w:style>
  <w:style w:type="paragraph" w:customStyle="1" w:styleId="107">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8">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9">
    <w:name w:val="列出段落111"/>
    <w:basedOn w:val="1"/>
    <w:qFormat/>
    <w:uiPriority w:val="34"/>
    <w:pPr>
      <w:spacing w:line="360" w:lineRule="auto"/>
      <w:ind w:firstLine="420" w:firstLineChars="200"/>
    </w:pPr>
    <w:rPr>
      <w:rFonts w:ascii="Arial" w:hAnsi="Arial" w:cs="Arial"/>
      <w:szCs w:val="21"/>
    </w:rPr>
  </w:style>
  <w:style w:type="paragraph" w:customStyle="1" w:styleId="110">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1">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2">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3">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4">
    <w:name w:val="列出段落11"/>
    <w:basedOn w:val="1"/>
    <w:qFormat/>
    <w:uiPriority w:val="0"/>
    <w:pPr>
      <w:spacing w:line="360" w:lineRule="auto"/>
      <w:ind w:firstLine="420" w:firstLineChars="200"/>
    </w:pPr>
    <w:rPr>
      <w:rFonts w:ascii="Arial" w:hAnsi="Arial" w:cs="Arial"/>
      <w:szCs w:val="21"/>
    </w:rPr>
  </w:style>
  <w:style w:type="paragraph" w:customStyle="1" w:styleId="115">
    <w:name w:val="p0"/>
    <w:basedOn w:val="1"/>
    <w:link w:val="116"/>
    <w:qFormat/>
    <w:uiPriority w:val="0"/>
    <w:pPr>
      <w:widowControl/>
      <w:spacing w:line="500" w:lineRule="atLeast"/>
      <w:ind w:firstLine="420"/>
    </w:pPr>
    <w:rPr>
      <w:rFonts w:ascii="宋体" w:hAnsi="宋体"/>
      <w:kern w:val="0"/>
      <w:szCs w:val="21"/>
    </w:rPr>
  </w:style>
  <w:style w:type="character" w:customStyle="1" w:styleId="116">
    <w:name w:val="p0 Char Char"/>
    <w:link w:val="115"/>
    <w:qFormat/>
    <w:uiPriority w:val="0"/>
    <w:rPr>
      <w:rFonts w:ascii="宋体" w:hAnsi="宋体" w:eastAsia="宋体" w:cs="Times New Roman"/>
      <w:kern w:val="0"/>
      <w:szCs w:val="21"/>
    </w:rPr>
  </w:style>
  <w:style w:type="paragraph" w:customStyle="1" w:styleId="117">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9">
    <w:name w:val="Char Char Char Char Char Char Char"/>
    <w:basedOn w:val="1"/>
    <w:qFormat/>
    <w:uiPriority w:val="0"/>
    <w:rPr>
      <w:szCs w:val="21"/>
    </w:rPr>
  </w:style>
  <w:style w:type="paragraph" w:customStyle="1" w:styleId="120">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1">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2">
    <w:name w:val="付标题"/>
    <w:basedOn w:val="1"/>
    <w:qFormat/>
    <w:uiPriority w:val="0"/>
    <w:pPr>
      <w:adjustRightInd w:val="0"/>
      <w:spacing w:before="360" w:line="360" w:lineRule="auto"/>
      <w:jc w:val="center"/>
    </w:pPr>
    <w:rPr>
      <w:rFonts w:eastAsia="黑体"/>
      <w:kern w:val="0"/>
      <w:sz w:val="48"/>
    </w:rPr>
  </w:style>
  <w:style w:type="paragraph" w:customStyle="1" w:styleId="123">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4">
    <w:name w:val="Char Char Char Char"/>
    <w:basedOn w:val="1"/>
    <w:qFormat/>
    <w:uiPriority w:val="0"/>
    <w:rPr>
      <w:szCs w:val="21"/>
    </w:rPr>
  </w:style>
  <w:style w:type="paragraph" w:customStyle="1" w:styleId="12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6">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7">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8">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1">
    <w:name w:val="p20"/>
    <w:basedOn w:val="1"/>
    <w:qFormat/>
    <w:uiPriority w:val="99"/>
    <w:pPr>
      <w:widowControl/>
      <w:spacing w:after="120"/>
    </w:pPr>
    <w:rPr>
      <w:kern w:val="0"/>
      <w:szCs w:val="21"/>
    </w:rPr>
  </w:style>
  <w:style w:type="paragraph" w:customStyle="1" w:styleId="132">
    <w:name w:val="段"/>
    <w:link w:val="133"/>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3">
    <w:name w:val="段 Char Char"/>
    <w:link w:val="132"/>
    <w:qFormat/>
    <w:uiPriority w:val="0"/>
    <w:rPr>
      <w:rFonts w:ascii="宋体" w:hAnsi="宋体" w:eastAsia="宋体" w:cs="Times New Roman"/>
      <w:kern w:val="0"/>
      <w:sz w:val="20"/>
      <w:szCs w:val="20"/>
    </w:rPr>
  </w:style>
  <w:style w:type="paragraph" w:customStyle="1" w:styleId="134">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5">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6">
    <w:name w:val="纯文本 + (符号) 宋体"/>
    <w:basedOn w:val="115"/>
    <w:link w:val="137"/>
    <w:qFormat/>
    <w:uiPriority w:val="0"/>
    <w:pPr>
      <w:spacing w:line="360" w:lineRule="auto"/>
      <w:ind w:firstLine="480" w:firstLineChars="200"/>
    </w:pPr>
    <w:rPr>
      <w:rFonts w:ascii="Times New Roman"/>
      <w:spacing w:val="20"/>
    </w:rPr>
  </w:style>
  <w:style w:type="character" w:customStyle="1" w:styleId="137">
    <w:name w:val="纯文本 + (符号) 宋体 Char"/>
    <w:link w:val="136"/>
    <w:qFormat/>
    <w:uiPriority w:val="0"/>
    <w:rPr>
      <w:rFonts w:ascii="Times New Roman" w:hAnsi="宋体" w:eastAsia="宋体" w:cs="Times New Roman"/>
      <w:spacing w:val="20"/>
      <w:kern w:val="0"/>
      <w:szCs w:val="21"/>
    </w:rPr>
  </w:style>
  <w:style w:type="paragraph" w:customStyle="1" w:styleId="1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40">
    <w:name w:val="p15"/>
    <w:basedOn w:val="1"/>
    <w:qFormat/>
    <w:uiPriority w:val="0"/>
    <w:pPr>
      <w:widowControl/>
      <w:jc w:val="left"/>
    </w:pPr>
    <w:rPr>
      <w:kern w:val="0"/>
      <w:sz w:val="18"/>
      <w:szCs w:val="18"/>
    </w:rPr>
  </w:style>
  <w:style w:type="paragraph" w:customStyle="1" w:styleId="141">
    <w:name w:val="一级条标题"/>
    <w:next w:val="1"/>
    <w:link w:val="233"/>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2">
    <w:name w:val="TOC 标题1"/>
    <w:basedOn w:val="128"/>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3">
    <w:name w:val="p16"/>
    <w:basedOn w:val="1"/>
    <w:qFormat/>
    <w:uiPriority w:val="0"/>
    <w:pPr>
      <w:widowControl/>
      <w:pBdr>
        <w:bottom w:val="single" w:color="000000" w:sz="6" w:space="1"/>
      </w:pBdr>
      <w:jc w:val="center"/>
    </w:pPr>
    <w:rPr>
      <w:kern w:val="0"/>
      <w:sz w:val="18"/>
      <w:szCs w:val="18"/>
    </w:rPr>
  </w:style>
  <w:style w:type="paragraph" w:customStyle="1" w:styleId="144">
    <w:name w:val="p18"/>
    <w:basedOn w:val="1"/>
    <w:qFormat/>
    <w:uiPriority w:val="0"/>
    <w:pPr>
      <w:widowControl/>
      <w:jc w:val="left"/>
    </w:pPr>
    <w:rPr>
      <w:kern w:val="0"/>
      <w:sz w:val="18"/>
      <w:szCs w:val="18"/>
    </w:rPr>
  </w:style>
  <w:style w:type="paragraph" w:customStyle="1" w:styleId="145">
    <w:name w:val="正文文本3"/>
    <w:basedOn w:val="1"/>
    <w:link w:val="146"/>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6">
    <w:name w:val="正文文本_"/>
    <w:link w:val="145"/>
    <w:qFormat/>
    <w:uiPriority w:val="0"/>
    <w:rPr>
      <w:rFonts w:ascii="MingLiU" w:hAnsi="MingLiU" w:eastAsia="MingLiU" w:cs="Times New Roman"/>
      <w:kern w:val="0"/>
      <w:sz w:val="22"/>
      <w:shd w:val="clear" w:color="auto" w:fill="FFFFFF"/>
      <w:lang w:val="zh-TW"/>
    </w:rPr>
  </w:style>
  <w:style w:type="paragraph" w:customStyle="1" w:styleId="147">
    <w:name w:val="纯文本1"/>
    <w:basedOn w:val="1"/>
    <w:qFormat/>
    <w:uiPriority w:val="0"/>
    <w:rPr>
      <w:rFonts w:ascii="宋体" w:hAnsi="Courier New" w:eastAsia="方正小标宋_GBK"/>
      <w:b/>
      <w:szCs w:val="20"/>
    </w:rPr>
  </w:style>
  <w:style w:type="paragraph" w:customStyle="1" w:styleId="148">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9">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50">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1">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2">
    <w:name w:val="实施日期"/>
    <w:basedOn w:val="153"/>
    <w:qFormat/>
    <w:uiPriority w:val="0"/>
    <w:pPr>
      <w:jc w:val="right"/>
    </w:pPr>
  </w:style>
  <w:style w:type="paragraph" w:customStyle="1" w:styleId="153">
    <w:name w:val="发布日期"/>
    <w:qFormat/>
    <w:uiPriority w:val="0"/>
    <w:rPr>
      <w:rFonts w:ascii="Times New Roman" w:hAnsi="Times New Roman" w:eastAsia="黑体" w:cs="Times New Roman"/>
      <w:sz w:val="28"/>
      <w:lang w:val="en-US" w:eastAsia="zh-CN" w:bidi="ar-SA"/>
    </w:rPr>
  </w:style>
  <w:style w:type="paragraph" w:customStyle="1" w:styleId="154">
    <w:name w:val="Char1"/>
    <w:basedOn w:val="1"/>
    <w:qFormat/>
    <w:uiPriority w:val="0"/>
    <w:rPr>
      <w:szCs w:val="20"/>
    </w:rPr>
  </w:style>
  <w:style w:type="paragraph" w:customStyle="1" w:styleId="155">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6">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7">
    <w:name w:val="Char3 Char Char Char"/>
    <w:basedOn w:val="1"/>
    <w:qFormat/>
    <w:uiPriority w:val="0"/>
    <w:rPr>
      <w:sz w:val="28"/>
    </w:rPr>
  </w:style>
  <w:style w:type="paragraph" w:customStyle="1" w:styleId="158">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9">
    <w:name w:val="p19"/>
    <w:basedOn w:val="1"/>
    <w:qFormat/>
    <w:uiPriority w:val="0"/>
    <w:pPr>
      <w:widowControl/>
      <w:spacing w:after="120"/>
    </w:pPr>
    <w:rPr>
      <w:kern w:val="0"/>
      <w:szCs w:val="21"/>
    </w:r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1">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2">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3">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4">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font6"/>
    <w:basedOn w:val="1"/>
    <w:qFormat/>
    <w:uiPriority w:val="0"/>
    <w:pPr>
      <w:widowControl/>
      <w:spacing w:before="100" w:beforeAutospacing="1" w:after="100" w:afterAutospacing="1"/>
      <w:jc w:val="left"/>
    </w:pPr>
    <w:rPr>
      <w:color w:val="000000"/>
      <w:kern w:val="0"/>
      <w:szCs w:val="21"/>
    </w:rPr>
  </w:style>
  <w:style w:type="paragraph" w:customStyle="1" w:styleId="16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8">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9">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7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3">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5">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6">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7">
    <w:name w:val="段落"/>
    <w:basedOn w:val="1"/>
    <w:link w:val="178"/>
    <w:qFormat/>
    <w:uiPriority w:val="0"/>
    <w:pPr>
      <w:adjustRightInd w:val="0"/>
      <w:spacing w:line="360" w:lineRule="auto"/>
      <w:ind w:firstLine="567"/>
      <w:textAlignment w:val="baseline"/>
    </w:pPr>
    <w:rPr>
      <w:rFonts w:eastAsia="仿宋_GB2312"/>
      <w:sz w:val="28"/>
      <w:szCs w:val="20"/>
    </w:rPr>
  </w:style>
  <w:style w:type="character" w:customStyle="1" w:styleId="178">
    <w:name w:val="段落 Char Char"/>
    <w:link w:val="177"/>
    <w:qFormat/>
    <w:uiPriority w:val="0"/>
    <w:rPr>
      <w:rFonts w:ascii="Times New Roman" w:hAnsi="Times New Roman" w:eastAsia="仿宋_GB2312" w:cs="Times New Roman"/>
      <w:sz w:val="28"/>
      <w:szCs w:val="20"/>
    </w:rPr>
  </w:style>
  <w:style w:type="paragraph" w:customStyle="1" w:styleId="179">
    <w:name w:val="页脚2"/>
    <w:basedOn w:val="1"/>
    <w:qFormat/>
    <w:uiPriority w:val="0"/>
    <w:pPr>
      <w:tabs>
        <w:tab w:val="center" w:pos="4153"/>
        <w:tab w:val="right" w:pos="8306"/>
      </w:tabs>
      <w:snapToGrid w:val="0"/>
      <w:jc w:val="left"/>
    </w:pPr>
    <w:rPr>
      <w:sz w:val="18"/>
      <w:szCs w:val="20"/>
    </w:rPr>
  </w:style>
  <w:style w:type="paragraph" w:customStyle="1" w:styleId="180">
    <w:name w:val="批注框文本2"/>
    <w:basedOn w:val="1"/>
    <w:qFormat/>
    <w:uiPriority w:val="0"/>
    <w:rPr>
      <w:rFonts w:ascii="方正小标宋_GBK" w:hAnsi="宋体" w:eastAsia="方正小标宋_GBK"/>
      <w:b/>
      <w:sz w:val="18"/>
      <w:szCs w:val="20"/>
    </w:rPr>
  </w:style>
  <w:style w:type="paragraph" w:customStyle="1" w:styleId="181">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2">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3">
    <w:name w:val="列出段落2"/>
    <w:basedOn w:val="1"/>
    <w:qFormat/>
    <w:uiPriority w:val="0"/>
    <w:pPr>
      <w:spacing w:line="360" w:lineRule="auto"/>
      <w:ind w:firstLine="420" w:firstLineChars="200"/>
    </w:pPr>
    <w:rPr>
      <w:rFonts w:ascii="Arial" w:hAnsi="Arial" w:cs="Arial"/>
      <w:szCs w:val="21"/>
    </w:rPr>
  </w:style>
  <w:style w:type="paragraph" w:customStyle="1" w:styleId="184">
    <w:name w:val="纯文本2"/>
    <w:basedOn w:val="1"/>
    <w:qFormat/>
    <w:uiPriority w:val="0"/>
    <w:rPr>
      <w:rFonts w:ascii="宋体" w:hAnsi="Courier New" w:eastAsia="方正小标宋_GBK"/>
      <w:b/>
      <w:szCs w:val="20"/>
    </w:rPr>
  </w:style>
  <w:style w:type="paragraph" w:customStyle="1" w:styleId="185">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6">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7">
    <w:name w:val="纯文本 Char1"/>
    <w:qFormat/>
    <w:uiPriority w:val="0"/>
    <w:rPr>
      <w:rFonts w:hint="eastAsia" w:ascii="宋体" w:hAnsi="Courier New" w:eastAsia="宋体"/>
      <w:sz w:val="21"/>
    </w:rPr>
  </w:style>
  <w:style w:type="character" w:customStyle="1" w:styleId="188">
    <w:name w:val="访问过的超链接1"/>
    <w:qFormat/>
    <w:uiPriority w:val="0"/>
    <w:rPr>
      <w:color w:val="800080"/>
      <w:u w:val="single"/>
    </w:rPr>
  </w:style>
  <w:style w:type="character" w:customStyle="1" w:styleId="189">
    <w:name w:val="正文文本缩进 3 Char1"/>
    <w:qFormat/>
    <w:uiPriority w:val="0"/>
    <w:rPr>
      <w:rFonts w:hint="eastAsia" w:ascii="宋体" w:hAnsi="宋体" w:eastAsia="宋体" w:cs="Times New Roman"/>
      <w:sz w:val="16"/>
      <w:szCs w:val="16"/>
    </w:rPr>
  </w:style>
  <w:style w:type="character" w:customStyle="1" w:styleId="190">
    <w:name w:val="文档结构图 Char1"/>
    <w:qFormat/>
    <w:uiPriority w:val="0"/>
    <w:rPr>
      <w:rFonts w:hint="eastAsia" w:ascii="宋体" w:hAnsi="宋体" w:eastAsia="宋体" w:cs="Times New Roman"/>
      <w:sz w:val="18"/>
      <w:szCs w:val="18"/>
    </w:rPr>
  </w:style>
  <w:style w:type="character" w:customStyle="1" w:styleId="191">
    <w:name w:val="A0"/>
    <w:qFormat/>
    <w:uiPriority w:val="0"/>
    <w:rPr>
      <w:rFonts w:cs=".."/>
      <w:color w:val="000000"/>
      <w:sz w:val="22"/>
      <w:szCs w:val="22"/>
    </w:rPr>
  </w:style>
  <w:style w:type="character" w:customStyle="1" w:styleId="192">
    <w:name w:val="标题 Char1"/>
    <w:qFormat/>
    <w:uiPriority w:val="0"/>
    <w:rPr>
      <w:rFonts w:ascii="Calibri Light" w:hAnsi="Calibri Light" w:cs="Times New Roman"/>
      <w:b/>
      <w:bCs/>
      <w:kern w:val="2"/>
      <w:sz w:val="32"/>
      <w:szCs w:val="32"/>
    </w:rPr>
  </w:style>
  <w:style w:type="character" w:customStyle="1" w:styleId="193">
    <w:name w:val="Footer Char"/>
    <w:qFormat/>
    <w:uiPriority w:val="0"/>
    <w:rPr>
      <w:sz w:val="18"/>
    </w:rPr>
  </w:style>
  <w:style w:type="character" w:customStyle="1" w:styleId="194">
    <w:name w:val="正文文本缩进 2 Char1"/>
    <w:qFormat/>
    <w:uiPriority w:val="0"/>
    <w:rPr>
      <w:rFonts w:hint="eastAsia" w:ascii="宋体" w:hAnsi="宋体" w:eastAsia="宋体"/>
      <w:kern w:val="2"/>
      <w:sz w:val="21"/>
      <w:szCs w:val="22"/>
    </w:rPr>
  </w:style>
  <w:style w:type="character" w:customStyle="1" w:styleId="195">
    <w:name w:val="日期 Char1"/>
    <w:qFormat/>
    <w:uiPriority w:val="0"/>
    <w:rPr>
      <w:rFonts w:hint="eastAsia" w:ascii="宋体" w:hAnsi="宋体" w:eastAsia="宋体" w:cs="Times New Roman"/>
    </w:rPr>
  </w:style>
  <w:style w:type="character" w:customStyle="1" w:styleId="196">
    <w:name w:val="font01"/>
    <w:qFormat/>
    <w:uiPriority w:val="0"/>
    <w:rPr>
      <w:rFonts w:hint="eastAsia" w:ascii="宋体" w:hAnsi="宋体" w:eastAsia="宋体"/>
      <w:color w:val="000000"/>
      <w:sz w:val="24"/>
      <w:szCs w:val="24"/>
      <w:u w:val="none"/>
    </w:rPr>
  </w:style>
  <w:style w:type="character" w:customStyle="1" w:styleId="197">
    <w:name w:val="页眉 Char1"/>
    <w:qFormat/>
    <w:uiPriority w:val="0"/>
    <w:rPr>
      <w:rFonts w:hint="eastAsia" w:ascii="宋体" w:hAnsi="宋体" w:eastAsia="宋体" w:cs="Times New Roman"/>
      <w:sz w:val="18"/>
      <w:szCs w:val="18"/>
    </w:rPr>
  </w:style>
  <w:style w:type="character" w:customStyle="1" w:styleId="198">
    <w:name w:val="表格题注 Char Char"/>
    <w:qFormat/>
    <w:uiPriority w:val="0"/>
    <w:rPr>
      <w:rFonts w:hint="default" w:ascii="Arial" w:hAnsi="Arial" w:cs="Times New Roman"/>
      <w:b/>
      <w:bCs/>
      <w:szCs w:val="32"/>
    </w:rPr>
  </w:style>
  <w:style w:type="character" w:customStyle="1" w:styleId="199">
    <w:name w:val="Body Text Indent Char"/>
    <w:qFormat/>
    <w:uiPriority w:val="0"/>
    <w:rPr>
      <w:rFonts w:ascii="宋体"/>
      <w:sz w:val="24"/>
    </w:rPr>
  </w:style>
  <w:style w:type="character" w:customStyle="1" w:styleId="200">
    <w:name w:val="发布"/>
    <w:qFormat/>
    <w:uiPriority w:val="0"/>
    <w:rPr>
      <w:rFonts w:ascii="黑体" w:eastAsia="黑体"/>
      <w:spacing w:val="22"/>
      <w:w w:val="100"/>
      <w:position w:val="3"/>
      <w:sz w:val="28"/>
    </w:rPr>
  </w:style>
  <w:style w:type="character" w:customStyle="1" w:styleId="201">
    <w:name w:val="纯文本 Char2"/>
    <w:qFormat/>
    <w:uiPriority w:val="0"/>
    <w:rPr>
      <w:rFonts w:ascii="宋体" w:hAnsi="Courier New" w:cs="Courier New"/>
      <w:kern w:val="2"/>
      <w:sz w:val="21"/>
      <w:szCs w:val="21"/>
    </w:rPr>
  </w:style>
  <w:style w:type="character" w:customStyle="1" w:styleId="202">
    <w:name w:val="页脚 Char1"/>
    <w:qFormat/>
    <w:uiPriority w:val="0"/>
    <w:rPr>
      <w:rFonts w:hint="eastAsia" w:ascii="宋体" w:hAnsi="宋体" w:eastAsia="宋体" w:cs="Times New Roman"/>
      <w:sz w:val="18"/>
      <w:szCs w:val="18"/>
    </w:rPr>
  </w:style>
  <w:style w:type="character" w:customStyle="1" w:styleId="203">
    <w:name w:val="正文文本缩进 Char1"/>
    <w:qFormat/>
    <w:uiPriority w:val="0"/>
    <w:rPr>
      <w:rFonts w:hint="eastAsia" w:ascii="宋体" w:hAnsi="宋体" w:eastAsia="宋体"/>
      <w:kern w:val="2"/>
      <w:sz w:val="21"/>
      <w:szCs w:val="22"/>
    </w:rPr>
  </w:style>
  <w:style w:type="character" w:customStyle="1" w:styleId="204">
    <w:name w:val="批注框文本 Char1"/>
    <w:qFormat/>
    <w:uiPriority w:val="0"/>
    <w:rPr>
      <w:rFonts w:hint="eastAsia" w:ascii="宋体" w:hAnsi="宋体" w:eastAsia="宋体" w:cs="Times New Roman"/>
      <w:sz w:val="18"/>
      <w:szCs w:val="18"/>
    </w:rPr>
  </w:style>
  <w:style w:type="character" w:customStyle="1" w:styleId="205">
    <w:name w:val="表格文字 Char Char"/>
    <w:qFormat/>
    <w:uiPriority w:val="0"/>
    <w:rPr>
      <w:rFonts w:hint="eastAsia" w:ascii="汉仪书宋二简" w:hAnsi="宋体" w:eastAsia="汉仪书宋二简" w:cs="Times New Roman"/>
      <w:sz w:val="18"/>
      <w:szCs w:val="18"/>
    </w:rPr>
  </w:style>
  <w:style w:type="character" w:customStyle="1" w:styleId="206">
    <w:name w:val="占位符文本1"/>
    <w:qFormat/>
    <w:uiPriority w:val="0"/>
    <w:rPr>
      <w:color w:val="808080"/>
    </w:rPr>
  </w:style>
  <w:style w:type="character" w:customStyle="1" w:styleId="207">
    <w:name w:val="ask-title"/>
    <w:qFormat/>
    <w:uiPriority w:val="0"/>
  </w:style>
  <w:style w:type="character" w:customStyle="1" w:styleId="208">
    <w:name w:val="批注框文本 Char Char Char Char"/>
    <w:qFormat/>
    <w:locked/>
    <w:uiPriority w:val="0"/>
    <w:rPr>
      <w:rFonts w:ascii="Arial" w:hAnsi="Arial" w:cs="Arial"/>
      <w:kern w:val="2"/>
      <w:sz w:val="18"/>
      <w:szCs w:val="18"/>
    </w:rPr>
  </w:style>
  <w:style w:type="character" w:customStyle="1" w:styleId="209">
    <w:name w:val="段 Char"/>
    <w:qFormat/>
    <w:locked/>
    <w:uiPriority w:val="0"/>
    <w:rPr>
      <w:rFonts w:ascii="宋体" w:hAnsi="宋体"/>
      <w:lang w:val="en-US" w:eastAsia="zh-CN" w:bidi="ar-SA"/>
    </w:rPr>
  </w:style>
  <w:style w:type="character" w:customStyle="1" w:styleId="210">
    <w:name w:val="表名 Char"/>
    <w:qFormat/>
    <w:uiPriority w:val="0"/>
    <w:rPr>
      <w:rFonts w:ascii="黑体" w:hAnsi="黑体" w:eastAsia="黑体"/>
      <w:b/>
      <w:kern w:val="2"/>
      <w:sz w:val="21"/>
      <w:szCs w:val="24"/>
    </w:rPr>
  </w:style>
  <w:style w:type="character" w:customStyle="1" w:styleId="211">
    <w:name w:val="段落 Char"/>
    <w:qFormat/>
    <w:uiPriority w:val="0"/>
    <w:rPr>
      <w:rFonts w:eastAsia="仿宋_GB2312"/>
      <w:sz w:val="28"/>
    </w:rPr>
  </w:style>
  <w:style w:type="character" w:customStyle="1" w:styleId="212">
    <w:name w:val="标题 1 Char1"/>
    <w:qFormat/>
    <w:uiPriority w:val="0"/>
    <w:rPr>
      <w:b/>
      <w:bCs/>
      <w:kern w:val="44"/>
      <w:sz w:val="44"/>
      <w:szCs w:val="44"/>
    </w:rPr>
  </w:style>
  <w:style w:type="character" w:customStyle="1" w:styleId="213">
    <w:name w:val="批注框文本 Char2"/>
    <w:qFormat/>
    <w:locked/>
    <w:uiPriority w:val="99"/>
    <w:rPr>
      <w:rFonts w:ascii="Arial" w:hAnsi="Arial" w:cs="Arial"/>
      <w:kern w:val="2"/>
      <w:sz w:val="18"/>
      <w:szCs w:val="18"/>
    </w:rPr>
  </w:style>
  <w:style w:type="character" w:customStyle="1" w:styleId="214">
    <w:name w:val="标题 Char2"/>
    <w:qFormat/>
    <w:locked/>
    <w:uiPriority w:val="10"/>
    <w:rPr>
      <w:rFonts w:ascii="宋体" w:hAnsi="宋体" w:eastAsia="宋体" w:cs="Times New Roman"/>
      <w:bCs/>
      <w:kern w:val="0"/>
      <w:szCs w:val="32"/>
    </w:rPr>
  </w:style>
  <w:style w:type="character" w:customStyle="1" w:styleId="215">
    <w:name w:val="Char Char6"/>
    <w:qFormat/>
    <w:uiPriority w:val="0"/>
    <w:rPr>
      <w:rFonts w:ascii="Arial" w:hAnsi="Arial"/>
      <w:kern w:val="2"/>
      <w:sz w:val="18"/>
    </w:rPr>
  </w:style>
  <w:style w:type="character" w:customStyle="1" w:styleId="216">
    <w:name w:val="font21"/>
    <w:qFormat/>
    <w:uiPriority w:val="0"/>
    <w:rPr>
      <w:rFonts w:hint="default" w:ascii="Times New Roman" w:hAnsi="Times New Roman" w:cs="Times New Roman"/>
      <w:b/>
      <w:bCs/>
      <w:color w:val="000000"/>
      <w:sz w:val="18"/>
      <w:szCs w:val="18"/>
      <w:u w:val="none"/>
    </w:rPr>
  </w:style>
  <w:style w:type="character" w:customStyle="1" w:styleId="217">
    <w:name w:val="font31"/>
    <w:qFormat/>
    <w:uiPriority w:val="0"/>
    <w:rPr>
      <w:rFonts w:hint="default" w:ascii="Times New Roman" w:hAnsi="Times New Roman" w:cs="Times New Roman"/>
      <w:color w:val="000000"/>
      <w:sz w:val="18"/>
      <w:szCs w:val="18"/>
      <w:u w:val="none"/>
    </w:rPr>
  </w:style>
  <w:style w:type="character" w:customStyle="1" w:styleId="218">
    <w:name w:val="font41"/>
    <w:qFormat/>
    <w:uiPriority w:val="0"/>
    <w:rPr>
      <w:rFonts w:hint="eastAsia" w:ascii="宋体" w:hAnsi="宋体" w:eastAsia="宋体"/>
      <w:color w:val="000000"/>
      <w:sz w:val="18"/>
      <w:szCs w:val="18"/>
      <w:u w:val="none"/>
    </w:rPr>
  </w:style>
  <w:style w:type="character" w:customStyle="1" w:styleId="219">
    <w:name w:val="Char Char61"/>
    <w:unhideWhenUsed/>
    <w:qFormat/>
    <w:uiPriority w:val="0"/>
    <w:rPr>
      <w:rFonts w:hint="default" w:ascii="Arial"/>
      <w:kern w:val="2"/>
      <w:sz w:val="18"/>
    </w:rPr>
  </w:style>
  <w:style w:type="character" w:customStyle="1" w:styleId="220">
    <w:name w:val="标题 1 Char2"/>
    <w:qFormat/>
    <w:locked/>
    <w:uiPriority w:val="0"/>
    <w:rPr>
      <w:rFonts w:ascii="宋体" w:hAnsi="宋体"/>
      <w:b/>
      <w:bCs/>
      <w:kern w:val="44"/>
      <w:sz w:val="32"/>
      <w:szCs w:val="44"/>
    </w:rPr>
  </w:style>
  <w:style w:type="paragraph" w:customStyle="1" w:styleId="221">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2">
    <w:name w:val="标题 Char21"/>
    <w:qFormat/>
    <w:uiPriority w:val="0"/>
    <w:rPr>
      <w:rFonts w:ascii="Calibri Light"/>
      <w:b/>
      <w:kern w:val="2"/>
      <w:sz w:val="32"/>
    </w:rPr>
  </w:style>
  <w:style w:type="paragraph" w:customStyle="1" w:styleId="223">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4">
    <w:name w:val="标题 2 Char1"/>
    <w:basedOn w:val="40"/>
    <w:semiHidden/>
    <w:qFormat/>
    <w:uiPriority w:val="0"/>
    <w:rPr>
      <w:rFonts w:hint="default" w:asciiTheme="majorHAnsi" w:hAnsiTheme="majorHAnsi" w:eastAsiaTheme="majorEastAsia" w:cstheme="majorBidi"/>
      <w:b/>
      <w:bCs/>
      <w:kern w:val="2"/>
      <w:sz w:val="32"/>
      <w:szCs w:val="32"/>
    </w:rPr>
  </w:style>
  <w:style w:type="character" w:customStyle="1" w:styleId="225">
    <w:name w:val="标题 3 Char1"/>
    <w:basedOn w:val="40"/>
    <w:semiHidden/>
    <w:qFormat/>
    <w:uiPriority w:val="9"/>
    <w:rPr>
      <w:rFonts w:hint="eastAsia" w:ascii="宋体" w:hAnsi="宋体" w:eastAsia="宋体" w:cs="Times New Roman"/>
      <w:b/>
      <w:bCs/>
      <w:kern w:val="2"/>
      <w:sz w:val="32"/>
      <w:szCs w:val="32"/>
    </w:rPr>
  </w:style>
  <w:style w:type="character" w:customStyle="1" w:styleId="226">
    <w:name w:val="标题 4 Char1"/>
    <w:basedOn w:val="40"/>
    <w:semiHidden/>
    <w:qFormat/>
    <w:uiPriority w:val="0"/>
    <w:rPr>
      <w:rFonts w:hint="default" w:asciiTheme="majorHAnsi" w:hAnsiTheme="majorHAnsi" w:eastAsiaTheme="majorEastAsia" w:cstheme="majorBidi"/>
      <w:b/>
      <w:bCs/>
      <w:kern w:val="2"/>
      <w:sz w:val="28"/>
      <w:szCs w:val="28"/>
    </w:rPr>
  </w:style>
  <w:style w:type="character" w:customStyle="1" w:styleId="227">
    <w:name w:val="标题 5 Char1"/>
    <w:basedOn w:val="40"/>
    <w:semiHidden/>
    <w:qFormat/>
    <w:uiPriority w:val="0"/>
    <w:rPr>
      <w:rFonts w:hint="eastAsia" w:ascii="宋体" w:hAnsi="宋体" w:eastAsia="宋体" w:cs="Times New Roman"/>
      <w:b/>
      <w:bCs/>
      <w:kern w:val="2"/>
      <w:sz w:val="28"/>
      <w:szCs w:val="28"/>
    </w:rPr>
  </w:style>
  <w:style w:type="character" w:customStyle="1" w:styleId="228">
    <w:name w:val="标题 6 Char1"/>
    <w:basedOn w:val="40"/>
    <w:semiHidden/>
    <w:qFormat/>
    <w:uiPriority w:val="0"/>
    <w:rPr>
      <w:rFonts w:hint="default" w:asciiTheme="majorHAnsi" w:hAnsiTheme="majorHAnsi" w:eastAsiaTheme="majorEastAsia" w:cstheme="majorBidi"/>
      <w:b/>
      <w:bCs/>
      <w:kern w:val="2"/>
      <w:sz w:val="24"/>
      <w:szCs w:val="24"/>
    </w:rPr>
  </w:style>
  <w:style w:type="character" w:customStyle="1" w:styleId="229">
    <w:name w:val="标题 7 Char1"/>
    <w:basedOn w:val="40"/>
    <w:semiHidden/>
    <w:qFormat/>
    <w:uiPriority w:val="0"/>
    <w:rPr>
      <w:rFonts w:hint="eastAsia" w:ascii="宋体" w:hAnsi="宋体" w:eastAsia="宋体" w:cs="Times New Roman"/>
      <w:b/>
      <w:bCs/>
      <w:kern w:val="2"/>
      <w:sz w:val="24"/>
      <w:szCs w:val="24"/>
    </w:rPr>
  </w:style>
  <w:style w:type="character" w:customStyle="1" w:styleId="230">
    <w:name w:val="标题 8 Char1"/>
    <w:basedOn w:val="40"/>
    <w:semiHidden/>
    <w:qFormat/>
    <w:uiPriority w:val="0"/>
    <w:rPr>
      <w:rFonts w:hint="default" w:asciiTheme="majorHAnsi" w:hAnsiTheme="majorHAnsi" w:eastAsiaTheme="majorEastAsia" w:cstheme="majorBidi"/>
      <w:kern w:val="2"/>
      <w:sz w:val="24"/>
      <w:szCs w:val="24"/>
    </w:rPr>
  </w:style>
  <w:style w:type="character" w:customStyle="1" w:styleId="231">
    <w:name w:val="标题 9 Char1"/>
    <w:basedOn w:val="40"/>
    <w:semiHidden/>
    <w:qFormat/>
    <w:uiPriority w:val="0"/>
    <w:rPr>
      <w:rFonts w:hint="default" w:asciiTheme="majorHAnsi" w:hAnsiTheme="majorHAnsi" w:eastAsiaTheme="majorEastAsia" w:cstheme="majorBidi"/>
      <w:kern w:val="2"/>
      <w:sz w:val="21"/>
      <w:szCs w:val="21"/>
    </w:rPr>
  </w:style>
  <w:style w:type="character" w:customStyle="1" w:styleId="232">
    <w:name w:val="样式1 Char Char"/>
    <w:link w:val="61"/>
    <w:qFormat/>
    <w:locked/>
    <w:uiPriority w:val="0"/>
    <w:rPr>
      <w:rFonts w:ascii="EU-F1" w:hAnsi="Times New Roman" w:eastAsia="黑体" w:cs="Times New Roman"/>
      <w:szCs w:val="21"/>
    </w:rPr>
  </w:style>
  <w:style w:type="character" w:customStyle="1" w:styleId="233">
    <w:name w:val="一级条标题 Char Char"/>
    <w:link w:val="141"/>
    <w:qFormat/>
    <w:locked/>
    <w:uiPriority w:val="0"/>
    <w:rPr>
      <w:rFonts w:ascii="黑体" w:hAnsi="Times New Roman" w:eastAsia="黑体" w:cs="Times New Roman"/>
      <w:kern w:val="0"/>
      <w:szCs w:val="21"/>
    </w:rPr>
  </w:style>
  <w:style w:type="paragraph" w:customStyle="1" w:styleId="234">
    <w:name w:val="表头A"/>
    <w:basedOn w:val="62"/>
    <w:qFormat/>
    <w:uiPriority w:val="0"/>
    <w:rPr>
      <w:kern w:val="21"/>
      <w:sz w:val="20"/>
    </w:rPr>
  </w:style>
  <w:style w:type="paragraph" w:customStyle="1" w:styleId="235">
    <w:name w:val="二级条标题"/>
    <w:basedOn w:val="141"/>
    <w:next w:val="132"/>
    <w:qFormat/>
    <w:uiPriority w:val="0"/>
    <w:pPr>
      <w:tabs>
        <w:tab w:val="clear" w:pos="0"/>
      </w:tabs>
      <w:spacing w:beforeLines="0" w:afterLines="0"/>
      <w:ind w:left="1260" w:hanging="420"/>
      <w:outlineLvl w:val="3"/>
    </w:pPr>
    <w:rPr>
      <w:rFonts w:hint="eastAsia"/>
    </w:rPr>
  </w:style>
  <w:style w:type="paragraph" w:customStyle="1" w:styleId="236">
    <w:name w:val="章标题"/>
    <w:next w:val="132"/>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7">
    <w:name w:val="三级条标题"/>
    <w:basedOn w:val="235"/>
    <w:next w:val="132"/>
    <w:qFormat/>
    <w:uiPriority w:val="0"/>
    <w:pPr>
      <w:ind w:left="1680"/>
      <w:outlineLvl w:val="4"/>
    </w:pPr>
  </w:style>
  <w:style w:type="paragraph" w:customStyle="1" w:styleId="238">
    <w:name w:val="列表段落1"/>
    <w:basedOn w:val="1"/>
    <w:qFormat/>
    <w:uiPriority w:val="34"/>
    <w:pPr>
      <w:ind w:firstLine="420" w:firstLineChars="200"/>
    </w:pPr>
  </w:style>
  <w:style w:type="paragraph" w:customStyle="1" w:styleId="239">
    <w:name w:val="列出段落3"/>
    <w:basedOn w:val="1"/>
    <w:qFormat/>
    <w:uiPriority w:val="34"/>
    <w:pPr>
      <w:ind w:firstLine="420" w:firstLineChars="200"/>
    </w:pPr>
  </w:style>
  <w:style w:type="paragraph" w:styleId="24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C72F7-3706-40C4-962D-2C496F74356C}">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8</Pages>
  <Words>4212</Words>
  <Characters>4804</Characters>
  <Lines>41</Lines>
  <Paragraphs>11</Paragraphs>
  <TotalTime>0</TotalTime>
  <ScaleCrop>false</ScaleCrop>
  <LinksUpToDate>false</LinksUpToDate>
  <CharactersWithSpaces>4991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2025-03-19T13:55:49Z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eyJoZGlkIjoiMzEwNTM5NzYwMDRjMzkwZTVkZjY2ODkwMGIxNGU0OTUiLCJ1c2VySWQiOiIyMjkxODkxMDUifQ==</vt:lpwstr>
  </property>
</Properties>
</file>